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DC" w:rsidRPr="00E63513" w:rsidRDefault="00D866DC" w:rsidP="00D866DC">
      <w:pPr>
        <w:tabs>
          <w:tab w:val="left" w:pos="2583"/>
        </w:tabs>
        <w:spacing w:after="0" w:line="240" w:lineRule="auto"/>
        <w:jc w:val="center"/>
        <w:rPr>
          <w:rFonts w:asciiTheme="majorBidi" w:eastAsia="Calibri" w:hAnsiTheme="majorBidi" w:cstheme="majorBidi"/>
          <w:b/>
          <w:color w:val="000000" w:themeColor="text1"/>
          <w:sz w:val="32"/>
          <w:szCs w:val="32"/>
        </w:rPr>
      </w:pPr>
    </w:p>
    <w:p w:rsidR="00D866DC" w:rsidRPr="00E63513" w:rsidRDefault="00D866DC" w:rsidP="00D866DC">
      <w:pPr>
        <w:tabs>
          <w:tab w:val="left" w:pos="2583"/>
        </w:tabs>
        <w:spacing w:after="0" w:line="240" w:lineRule="auto"/>
        <w:jc w:val="center"/>
        <w:rPr>
          <w:rFonts w:asciiTheme="majorBidi" w:eastAsia="Calibri" w:hAnsiTheme="majorBidi" w:cstheme="majorBidi"/>
          <w:b/>
          <w:color w:val="000000" w:themeColor="text1"/>
          <w:sz w:val="32"/>
          <w:szCs w:val="32"/>
        </w:rPr>
      </w:pPr>
    </w:p>
    <w:p w:rsidR="00A640E5" w:rsidRPr="00E63513" w:rsidRDefault="00544AFC" w:rsidP="00A640E5">
      <w:pPr>
        <w:tabs>
          <w:tab w:val="left" w:pos="2583"/>
        </w:tabs>
        <w:spacing w:after="0" w:line="240" w:lineRule="auto"/>
        <w:jc w:val="center"/>
        <w:rPr>
          <w:rFonts w:ascii="Times New Roman" w:eastAsia="Calibri" w:hAnsi="Times New Roman" w:cs="Times New Roman"/>
          <w:b/>
          <w:color w:val="000000" w:themeColor="text1"/>
          <w:sz w:val="28"/>
          <w:szCs w:val="28"/>
        </w:rPr>
      </w:pPr>
      <w:r w:rsidRPr="00E63513">
        <w:rPr>
          <w:rFonts w:asciiTheme="majorBidi" w:eastAsia="Calibri" w:hAnsiTheme="majorBidi" w:cstheme="majorBidi"/>
          <w:b/>
          <w:color w:val="000000" w:themeColor="text1"/>
          <w:sz w:val="28"/>
          <w:szCs w:val="28"/>
        </w:rPr>
        <w:t>Shareholders</w:t>
      </w:r>
      <w:r w:rsidR="00B669A2" w:rsidRPr="00E63513">
        <w:rPr>
          <w:rFonts w:asciiTheme="majorBidi" w:eastAsia="Calibri" w:hAnsiTheme="majorBidi" w:cstheme="majorBidi"/>
          <w:b/>
          <w:color w:val="000000" w:themeColor="text1"/>
          <w:sz w:val="28"/>
          <w:szCs w:val="28"/>
        </w:rPr>
        <w:t>’</w:t>
      </w:r>
      <w:r w:rsidRPr="00E63513">
        <w:rPr>
          <w:rFonts w:asciiTheme="majorBidi" w:eastAsia="Calibri" w:hAnsiTheme="majorBidi" w:cstheme="majorBidi"/>
          <w:b/>
          <w:color w:val="000000" w:themeColor="text1"/>
          <w:sz w:val="28"/>
          <w:szCs w:val="28"/>
        </w:rPr>
        <w:t xml:space="preserve"> Value</w:t>
      </w:r>
      <w:r w:rsidR="00A640E5" w:rsidRPr="00E63513">
        <w:rPr>
          <w:rFonts w:asciiTheme="majorBidi" w:eastAsia="Calibri" w:hAnsiTheme="majorBidi" w:cstheme="majorBidi"/>
          <w:b/>
          <w:color w:val="000000" w:themeColor="text1"/>
          <w:sz w:val="28"/>
          <w:szCs w:val="28"/>
        </w:rPr>
        <w:t xml:space="preserve"> </w:t>
      </w:r>
      <w:r w:rsidR="00A640E5" w:rsidRPr="00E63513">
        <w:rPr>
          <w:rFonts w:ascii="Times New Roman" w:eastAsia="Calibri" w:hAnsi="Times New Roman" w:cs="Times New Roman"/>
          <w:b/>
          <w:color w:val="000000" w:themeColor="text1"/>
          <w:sz w:val="28"/>
          <w:szCs w:val="28"/>
        </w:rPr>
        <w:t xml:space="preserve">of Saudi Commercial Banks: A Comparative Evaluation between </w:t>
      </w:r>
      <w:r w:rsidR="00A640E5" w:rsidRPr="00E63513">
        <w:rPr>
          <w:rFonts w:asciiTheme="majorBidi" w:eastAsia="Calibri" w:hAnsiTheme="majorBidi" w:cstheme="majorBidi"/>
          <w:b/>
          <w:color w:val="000000" w:themeColor="text1"/>
          <w:sz w:val="28"/>
          <w:szCs w:val="28"/>
        </w:rPr>
        <w:t xml:space="preserve">Islamic </w:t>
      </w:r>
      <w:r w:rsidR="00A640E5" w:rsidRPr="00E63513">
        <w:rPr>
          <w:rFonts w:ascii="Times New Roman" w:eastAsia="Calibri" w:hAnsi="Times New Roman" w:cs="Times New Roman"/>
          <w:b/>
          <w:color w:val="000000" w:themeColor="text1"/>
          <w:sz w:val="28"/>
          <w:szCs w:val="28"/>
        </w:rPr>
        <w:t xml:space="preserve">and </w:t>
      </w:r>
      <w:r w:rsidR="00A640E5" w:rsidRPr="00E63513">
        <w:rPr>
          <w:rFonts w:asciiTheme="majorBidi" w:eastAsia="Calibri" w:hAnsiTheme="majorBidi" w:cstheme="majorBidi"/>
          <w:b/>
          <w:color w:val="000000" w:themeColor="text1"/>
          <w:sz w:val="28"/>
          <w:szCs w:val="28"/>
        </w:rPr>
        <w:t xml:space="preserve">Conventional </w:t>
      </w:r>
      <w:r w:rsidR="00A640E5" w:rsidRPr="00E63513">
        <w:rPr>
          <w:rFonts w:ascii="Times New Roman" w:eastAsia="Calibri" w:hAnsi="Times New Roman" w:cs="Times New Roman"/>
          <w:b/>
          <w:color w:val="000000" w:themeColor="text1"/>
          <w:sz w:val="28"/>
          <w:szCs w:val="28"/>
        </w:rPr>
        <w:t>Banks using CAMEL Parameters</w:t>
      </w:r>
    </w:p>
    <w:p w:rsidR="00A640E5" w:rsidRPr="00E63513" w:rsidRDefault="00A640E5" w:rsidP="00D866DC">
      <w:pPr>
        <w:tabs>
          <w:tab w:val="left" w:pos="2583"/>
        </w:tabs>
        <w:spacing w:after="0" w:line="240" w:lineRule="auto"/>
        <w:jc w:val="center"/>
        <w:rPr>
          <w:rFonts w:asciiTheme="majorBidi" w:eastAsia="Calibri" w:hAnsiTheme="majorBidi" w:cstheme="majorBidi"/>
          <w:b/>
          <w:color w:val="000000" w:themeColor="text1"/>
          <w:sz w:val="28"/>
          <w:szCs w:val="28"/>
        </w:rPr>
      </w:pPr>
    </w:p>
    <w:p w:rsidR="00C156D6" w:rsidRPr="00E63513" w:rsidRDefault="00C156D6" w:rsidP="00E174F5">
      <w:pPr>
        <w:tabs>
          <w:tab w:val="left" w:pos="2583"/>
        </w:tabs>
        <w:spacing w:after="0" w:line="240" w:lineRule="auto"/>
        <w:rPr>
          <w:rFonts w:asciiTheme="majorBidi" w:eastAsia="Calibri" w:hAnsiTheme="majorBidi" w:cstheme="majorBidi"/>
          <w:b/>
          <w:color w:val="000000" w:themeColor="text1"/>
        </w:rPr>
      </w:pPr>
    </w:p>
    <w:p w:rsidR="001F6847" w:rsidRPr="00E63513" w:rsidRDefault="001F6847" w:rsidP="00C62641">
      <w:pPr>
        <w:spacing w:after="0" w:line="240" w:lineRule="auto"/>
        <w:jc w:val="center"/>
        <w:rPr>
          <w:rFonts w:asciiTheme="majorBidi" w:hAnsiTheme="majorBidi" w:cstheme="majorBidi"/>
          <w:color w:val="000000" w:themeColor="text1"/>
        </w:rPr>
      </w:pPr>
      <w:r w:rsidRPr="00E63513">
        <w:rPr>
          <w:rFonts w:asciiTheme="majorBidi" w:hAnsiTheme="majorBidi" w:cstheme="majorBidi"/>
          <w:color w:val="000000" w:themeColor="text1"/>
        </w:rPr>
        <w:t>- Abdulazeez Y.H. Saif-Alyousfi</w:t>
      </w:r>
      <w:r w:rsidR="00500A0A" w:rsidRPr="00E63513">
        <w:rPr>
          <w:rFonts w:asciiTheme="majorBidi" w:hAnsiTheme="majorBidi" w:cstheme="majorBidi"/>
          <w:color w:val="000000" w:themeColor="text1"/>
          <w:vertAlign w:val="superscript"/>
        </w:rPr>
        <w:t>1</w:t>
      </w:r>
      <w:r w:rsidR="00DA5C87" w:rsidRPr="00E63513">
        <w:rPr>
          <w:rFonts w:asciiTheme="majorBidi" w:hAnsiTheme="majorBidi" w:cstheme="majorBidi"/>
          <w:color w:val="000000" w:themeColor="text1"/>
        </w:rPr>
        <w:t>*</w:t>
      </w:r>
      <w:r w:rsidRPr="00E63513">
        <w:rPr>
          <w:rFonts w:asciiTheme="majorBidi" w:hAnsiTheme="majorBidi" w:cstheme="majorBidi"/>
          <w:color w:val="000000" w:themeColor="text1"/>
        </w:rPr>
        <w:t>, Asish Saha</w:t>
      </w:r>
      <w:r w:rsidR="00C62641" w:rsidRPr="00E63513">
        <w:rPr>
          <w:rFonts w:asciiTheme="majorBidi" w:hAnsiTheme="majorBidi" w:cstheme="majorBidi"/>
          <w:color w:val="000000" w:themeColor="text1"/>
          <w:vertAlign w:val="superscript"/>
        </w:rPr>
        <w:t>2</w:t>
      </w:r>
      <w:r w:rsidR="00C62641" w:rsidRPr="00E63513">
        <w:rPr>
          <w:rFonts w:asciiTheme="majorBidi" w:hAnsiTheme="majorBidi" w:cstheme="majorBidi"/>
          <w:color w:val="000000" w:themeColor="text1"/>
        </w:rPr>
        <w:t>, Rohani Md-Rus</w:t>
      </w:r>
      <w:r w:rsidR="00C62641" w:rsidRPr="00E63513">
        <w:rPr>
          <w:rFonts w:asciiTheme="majorBidi" w:hAnsiTheme="majorBidi" w:cstheme="majorBidi"/>
          <w:color w:val="000000" w:themeColor="text1"/>
          <w:vertAlign w:val="superscript"/>
        </w:rPr>
        <w:t>3</w:t>
      </w:r>
    </w:p>
    <w:p w:rsidR="00500A0A" w:rsidRPr="00E63513" w:rsidRDefault="00500A0A" w:rsidP="00500A0A">
      <w:pPr>
        <w:tabs>
          <w:tab w:val="left" w:pos="2583"/>
        </w:tabs>
        <w:spacing w:after="0" w:line="240" w:lineRule="auto"/>
        <w:jc w:val="both"/>
        <w:rPr>
          <w:rFonts w:ascii="Times New Roman" w:eastAsia="Times New Roman" w:hAnsi="Times New Roman" w:cs="Times New Roman"/>
          <w:bCs/>
          <w:color w:val="000000" w:themeColor="text1"/>
          <w:sz w:val="20"/>
          <w:szCs w:val="20"/>
          <w:vertAlign w:val="superscript"/>
        </w:rPr>
      </w:pPr>
    </w:p>
    <w:p w:rsidR="00500A0A" w:rsidRPr="00E63513" w:rsidRDefault="00500A0A" w:rsidP="00C62641">
      <w:pPr>
        <w:tabs>
          <w:tab w:val="left" w:pos="2583"/>
        </w:tabs>
        <w:spacing w:after="0" w:line="240" w:lineRule="auto"/>
        <w:jc w:val="both"/>
        <w:rPr>
          <w:rFonts w:ascii="Times New Roman" w:eastAsia="Times New Roman" w:hAnsi="Times New Roman" w:cs="Times New Roman"/>
          <w:bCs/>
          <w:color w:val="000000" w:themeColor="text1"/>
          <w:sz w:val="20"/>
          <w:szCs w:val="20"/>
        </w:rPr>
      </w:pPr>
      <w:r w:rsidRPr="00E63513">
        <w:rPr>
          <w:rFonts w:ascii="Times New Roman" w:eastAsia="Times New Roman" w:hAnsi="Times New Roman" w:cs="Times New Roman"/>
          <w:bCs/>
          <w:color w:val="000000" w:themeColor="text1"/>
          <w:sz w:val="20"/>
          <w:szCs w:val="20"/>
          <w:vertAlign w:val="superscript"/>
        </w:rPr>
        <w:t>1</w:t>
      </w:r>
      <w:r w:rsidRPr="00E63513">
        <w:rPr>
          <w:rFonts w:ascii="Times New Roman" w:eastAsia="Times New Roman" w:hAnsi="Times New Roman" w:cs="Times New Roman"/>
          <w:bCs/>
          <w:color w:val="000000" w:themeColor="text1"/>
          <w:sz w:val="20"/>
          <w:szCs w:val="20"/>
        </w:rPr>
        <w:t xml:space="preserve">School of Economics, Finance and Banking, College of Business, Universiti Utara Malaysia (UUM), Sintok – 06010, Kedah, Malaysia, </w:t>
      </w:r>
      <w:r w:rsidR="00C62641" w:rsidRPr="00E63513">
        <w:rPr>
          <w:rFonts w:ascii="Times New Roman" w:eastAsia="Times New Roman" w:hAnsi="Times New Roman" w:cs="Times New Roman"/>
          <w:bCs/>
          <w:color w:val="000000" w:themeColor="text1"/>
          <w:sz w:val="20"/>
          <w:szCs w:val="20"/>
          <w:vertAlign w:val="superscript"/>
        </w:rPr>
        <w:t>2</w:t>
      </w:r>
      <w:r w:rsidR="00C62641" w:rsidRPr="00E63513">
        <w:rPr>
          <w:rFonts w:ascii="Times New Roman" w:eastAsia="Times New Roman" w:hAnsi="Times New Roman" w:cs="Times New Roman"/>
          <w:bCs/>
          <w:color w:val="000000" w:themeColor="text1"/>
          <w:sz w:val="20"/>
          <w:szCs w:val="20"/>
        </w:rPr>
        <w:t xml:space="preserve">Flame School of Business, Flame University, Pune-412115, India. </w:t>
      </w:r>
      <w:r w:rsidR="00C62641" w:rsidRPr="00E63513">
        <w:rPr>
          <w:rFonts w:ascii="Times New Roman" w:eastAsia="Times New Roman" w:hAnsi="Times New Roman" w:cs="Times New Roman"/>
          <w:bCs/>
          <w:color w:val="000000" w:themeColor="text1"/>
          <w:sz w:val="20"/>
          <w:szCs w:val="20"/>
          <w:vertAlign w:val="superscript"/>
        </w:rPr>
        <w:t>3</w:t>
      </w:r>
      <w:r w:rsidRPr="00E63513">
        <w:rPr>
          <w:rFonts w:ascii="Times New Roman" w:eastAsia="Times New Roman" w:hAnsi="Times New Roman" w:cs="Times New Roman"/>
          <w:bCs/>
          <w:color w:val="000000" w:themeColor="text1"/>
          <w:sz w:val="20"/>
          <w:szCs w:val="20"/>
        </w:rPr>
        <w:t>School of Economics, Finance and Banking, College of Business, Universiti Utara Malaysia (UUM), Sintok – 06010, Kedah</w:t>
      </w:r>
      <w:r w:rsidRPr="00E63513">
        <w:rPr>
          <w:rFonts w:ascii="Times New Roman" w:eastAsia="Times New Roman" w:hAnsi="Times New Roman" w:cs="Times New Roman"/>
          <w:b/>
          <w:color w:val="000000" w:themeColor="text1"/>
          <w:sz w:val="20"/>
          <w:szCs w:val="20"/>
        </w:rPr>
        <w:t>,</w:t>
      </w:r>
      <w:r w:rsidR="00B04EAC" w:rsidRPr="00E63513">
        <w:rPr>
          <w:rFonts w:ascii="Times New Roman" w:eastAsia="Times New Roman" w:hAnsi="Times New Roman" w:cs="Times New Roman"/>
          <w:bCs/>
          <w:color w:val="000000" w:themeColor="text1"/>
          <w:sz w:val="20"/>
          <w:szCs w:val="20"/>
        </w:rPr>
        <w:t xml:space="preserve"> Malaysia, </w:t>
      </w:r>
    </w:p>
    <w:p w:rsidR="00B04EAC" w:rsidRPr="00E63513" w:rsidRDefault="00B04EAC" w:rsidP="00B04EAC">
      <w:pPr>
        <w:tabs>
          <w:tab w:val="left" w:pos="2583"/>
        </w:tabs>
        <w:spacing w:after="0" w:line="240" w:lineRule="auto"/>
        <w:jc w:val="both"/>
        <w:rPr>
          <w:rFonts w:ascii="Times New Roman" w:eastAsia="Times New Roman" w:hAnsi="Times New Roman" w:cs="Times New Roman"/>
          <w:bCs/>
          <w:color w:val="000000" w:themeColor="text1"/>
          <w:sz w:val="20"/>
          <w:szCs w:val="20"/>
        </w:rPr>
      </w:pPr>
    </w:p>
    <w:p w:rsidR="00C156D6" w:rsidRPr="00E63513" w:rsidRDefault="00C156D6" w:rsidP="00E174F5">
      <w:pPr>
        <w:spacing w:line="240" w:lineRule="auto"/>
        <w:rPr>
          <w:rFonts w:asciiTheme="majorBidi" w:hAnsiTheme="majorBidi" w:cstheme="majorBidi"/>
          <w:b/>
          <w:bCs/>
          <w:color w:val="000000" w:themeColor="text1"/>
        </w:rPr>
      </w:pPr>
    </w:p>
    <w:p w:rsidR="00C156D6" w:rsidRPr="00E63513" w:rsidRDefault="00C156D6" w:rsidP="00E174F5">
      <w:pPr>
        <w:spacing w:line="240" w:lineRule="auto"/>
        <w:rPr>
          <w:rFonts w:asciiTheme="majorBidi" w:hAnsiTheme="majorBidi" w:cstheme="majorBidi"/>
          <w:b/>
          <w:bCs/>
          <w:color w:val="000000" w:themeColor="text1"/>
        </w:rPr>
      </w:pPr>
      <w:r w:rsidRPr="00E63513">
        <w:rPr>
          <w:rFonts w:asciiTheme="majorBidi" w:hAnsiTheme="majorBidi" w:cstheme="majorBidi"/>
          <w:b/>
          <w:bCs/>
          <w:color w:val="000000" w:themeColor="text1"/>
        </w:rPr>
        <w:t>ABSTRACT</w:t>
      </w:r>
    </w:p>
    <w:p w:rsidR="00D86B26" w:rsidRPr="00E63513" w:rsidRDefault="00D86B26" w:rsidP="001B4264">
      <w:pPr>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Islamic banks are playing an important role in the financial sector in various economies, especially in Islamic nations. They provide most of the banking services as are provided by the conventional banks, albeit different in nomenclature and specific characteristics. So far, however, no econometric study has been reported in the literature which analyses and compares the contribution to shareholders’ value by Islamic and conventional banks. This paper uses pooled OLS and random effect model to investigate and compare the contribution to shareholders’ value by the Islamic and conventional banks in Saudi Arabia over the period 2000-2015. Our results indicate that Islamic banks in Saudi Arabia contribute more to the shareholders’ value than conventional banks. We find that higher capital ratio and credit risk lead to a decline in shareholders’ value of the conventional banks but this is not true in the case of the Islamic banks. We also find that higher level of loans decrease the conventional banks' shareholders’ value but increase the same in the case of the Islamic banks. In contrast to Islamic banks, we find that conventional banks with higher liquidity have a lower shareholders’ value. Lastly, our results indicate that in general, shareholders’ value is associated negatively with declines in cost efficiency and bank size. Policy implications and possible strategic interventions have also been discussed.</w:t>
      </w:r>
    </w:p>
    <w:p w:rsidR="00D86B26" w:rsidRPr="00E63513" w:rsidRDefault="00D86B26" w:rsidP="001B4264">
      <w:pPr>
        <w:spacing w:after="0" w:line="240" w:lineRule="auto"/>
        <w:jc w:val="both"/>
        <w:rPr>
          <w:rFonts w:asciiTheme="majorBidi" w:hAnsiTheme="majorBidi" w:cstheme="majorBidi"/>
          <w:color w:val="000000" w:themeColor="text1"/>
        </w:rPr>
      </w:pPr>
    </w:p>
    <w:p w:rsidR="001F6847" w:rsidRPr="00E63513" w:rsidRDefault="00C156D6" w:rsidP="001B4264">
      <w:pPr>
        <w:spacing w:after="0" w:line="240" w:lineRule="auto"/>
        <w:jc w:val="both"/>
        <w:rPr>
          <w:rFonts w:asciiTheme="majorBidi" w:eastAsia="Calibri" w:hAnsiTheme="majorBidi" w:cstheme="majorBidi"/>
          <w:color w:val="000000" w:themeColor="text1"/>
        </w:rPr>
      </w:pPr>
      <w:r w:rsidRPr="00E63513">
        <w:rPr>
          <w:rFonts w:asciiTheme="majorBidi" w:eastAsia="Calibri" w:hAnsiTheme="majorBidi" w:cstheme="majorBidi"/>
          <w:b/>
          <w:bCs/>
          <w:color w:val="000000" w:themeColor="text1"/>
        </w:rPr>
        <w:t xml:space="preserve">Keywords: </w:t>
      </w:r>
      <w:r w:rsidR="00C5503F" w:rsidRPr="00E63513">
        <w:rPr>
          <w:rFonts w:asciiTheme="majorBidi" w:eastAsia="Calibri" w:hAnsiTheme="majorBidi" w:cstheme="majorBidi"/>
          <w:color w:val="000000" w:themeColor="text1"/>
        </w:rPr>
        <w:t>Shareholder</w:t>
      </w:r>
      <w:r w:rsidR="00544AFC" w:rsidRPr="00E63513">
        <w:rPr>
          <w:rFonts w:asciiTheme="majorBidi" w:eastAsia="Calibri" w:hAnsiTheme="majorBidi" w:cstheme="majorBidi"/>
          <w:color w:val="000000" w:themeColor="text1"/>
        </w:rPr>
        <w:t>s</w:t>
      </w:r>
      <w:r w:rsidR="00AA1408" w:rsidRPr="00E63513">
        <w:rPr>
          <w:rFonts w:asciiTheme="majorBidi" w:eastAsia="Calibri" w:hAnsiTheme="majorBidi" w:cstheme="majorBidi"/>
          <w:color w:val="000000" w:themeColor="text1"/>
        </w:rPr>
        <w:t>’</w:t>
      </w:r>
      <w:r w:rsidR="00C5503F" w:rsidRPr="00E63513">
        <w:rPr>
          <w:rFonts w:asciiTheme="majorBidi" w:eastAsia="Calibri" w:hAnsiTheme="majorBidi" w:cstheme="majorBidi"/>
          <w:color w:val="000000" w:themeColor="text1"/>
        </w:rPr>
        <w:t xml:space="preserve"> value</w:t>
      </w:r>
      <w:r w:rsidRPr="00E63513">
        <w:rPr>
          <w:rFonts w:asciiTheme="majorBidi" w:eastAsia="Calibri" w:hAnsiTheme="majorBidi" w:cstheme="majorBidi"/>
          <w:color w:val="000000" w:themeColor="text1"/>
        </w:rPr>
        <w:t xml:space="preserve">, </w:t>
      </w:r>
      <w:r w:rsidR="00C5503F" w:rsidRPr="00E63513">
        <w:rPr>
          <w:rFonts w:asciiTheme="majorBidi" w:eastAsia="Calibri" w:hAnsiTheme="majorBidi" w:cstheme="majorBidi"/>
          <w:color w:val="000000" w:themeColor="text1"/>
        </w:rPr>
        <w:t>Islamic banks</w:t>
      </w:r>
      <w:r w:rsidRPr="00E63513">
        <w:rPr>
          <w:rFonts w:asciiTheme="majorBidi" w:eastAsia="Calibri" w:hAnsiTheme="majorBidi" w:cstheme="majorBidi"/>
          <w:b/>
          <w:bCs/>
          <w:color w:val="000000" w:themeColor="text1"/>
        </w:rPr>
        <w:t xml:space="preserve">, </w:t>
      </w:r>
      <w:r w:rsidR="00AA1408" w:rsidRPr="00E63513">
        <w:rPr>
          <w:rFonts w:asciiTheme="majorBidi" w:eastAsia="Calibri" w:hAnsiTheme="majorBidi" w:cstheme="majorBidi"/>
          <w:color w:val="000000" w:themeColor="text1"/>
        </w:rPr>
        <w:t>C</w:t>
      </w:r>
      <w:r w:rsidR="00C5503F" w:rsidRPr="00E63513">
        <w:rPr>
          <w:rFonts w:asciiTheme="majorBidi" w:eastAsia="Calibri" w:hAnsiTheme="majorBidi" w:cstheme="majorBidi"/>
          <w:color w:val="000000" w:themeColor="text1"/>
        </w:rPr>
        <w:t>onventional banks</w:t>
      </w:r>
      <w:r w:rsidRPr="00E63513">
        <w:rPr>
          <w:rFonts w:asciiTheme="majorBidi" w:eastAsia="Calibri" w:hAnsiTheme="majorBidi" w:cstheme="majorBidi"/>
          <w:color w:val="000000" w:themeColor="text1"/>
        </w:rPr>
        <w:t xml:space="preserve">, </w:t>
      </w:r>
      <w:r w:rsidR="00C5503F" w:rsidRPr="00E63513">
        <w:rPr>
          <w:rFonts w:asciiTheme="majorBidi" w:eastAsia="Calibri" w:hAnsiTheme="majorBidi" w:cstheme="majorBidi"/>
          <w:color w:val="000000" w:themeColor="text1"/>
        </w:rPr>
        <w:t xml:space="preserve">CAMELs model, </w:t>
      </w:r>
      <w:r w:rsidR="00EF16FE" w:rsidRPr="00E63513">
        <w:rPr>
          <w:rFonts w:asciiTheme="majorBidi" w:eastAsia="Calibri" w:hAnsiTheme="majorBidi" w:cstheme="majorBidi"/>
          <w:color w:val="000000" w:themeColor="text1"/>
        </w:rPr>
        <w:t>Saudi Arabia.</w:t>
      </w:r>
    </w:p>
    <w:p w:rsidR="001B4264" w:rsidRPr="00E63513" w:rsidRDefault="001B4264" w:rsidP="001B4264">
      <w:pPr>
        <w:pBdr>
          <w:bottom w:val="single" w:sz="4" w:space="1" w:color="auto"/>
        </w:pBdr>
        <w:spacing w:after="0"/>
        <w:jc w:val="both"/>
        <w:rPr>
          <w:rFonts w:asciiTheme="majorBidi" w:hAnsiTheme="majorBidi" w:cstheme="majorBidi"/>
          <w:color w:val="000000" w:themeColor="text1"/>
        </w:rPr>
      </w:pPr>
      <w:r w:rsidRPr="00E63513">
        <w:rPr>
          <w:rFonts w:asciiTheme="majorBidi" w:hAnsiTheme="majorBidi" w:cstheme="majorBidi"/>
          <w:b/>
          <w:bCs/>
          <w:color w:val="000000" w:themeColor="text1"/>
        </w:rPr>
        <w:t>JEL Classifications: </w:t>
      </w:r>
      <w:r w:rsidRPr="00E63513">
        <w:rPr>
          <w:rFonts w:asciiTheme="majorBidi" w:hAnsiTheme="majorBidi" w:cstheme="majorBidi"/>
          <w:color w:val="000000" w:themeColor="text1"/>
        </w:rPr>
        <w:t>G20; G21,</w:t>
      </w:r>
      <w:r w:rsidRPr="00E63513">
        <w:rPr>
          <w:b/>
          <w:bCs/>
          <w:color w:val="000000" w:themeColor="text1"/>
          <w:sz w:val="17"/>
          <w:szCs w:val="17"/>
          <w:shd w:val="clear" w:color="auto" w:fill="FFFFFF"/>
        </w:rPr>
        <w:t xml:space="preserve"> </w:t>
      </w:r>
      <w:r w:rsidRPr="00E63513">
        <w:rPr>
          <w:rFonts w:asciiTheme="majorBidi" w:hAnsiTheme="majorBidi" w:cstheme="majorBidi"/>
          <w:color w:val="000000" w:themeColor="text1"/>
        </w:rPr>
        <w:t>G01, G24,</w:t>
      </w:r>
      <w:r w:rsidRPr="00E63513">
        <w:rPr>
          <w:b/>
          <w:bCs/>
          <w:color w:val="000000" w:themeColor="text1"/>
          <w:sz w:val="17"/>
          <w:szCs w:val="17"/>
          <w:shd w:val="clear" w:color="auto" w:fill="FFFFFF"/>
        </w:rPr>
        <w:t xml:space="preserve"> </w:t>
      </w:r>
      <w:r w:rsidRPr="00E63513">
        <w:rPr>
          <w:rFonts w:asciiTheme="majorBidi" w:hAnsiTheme="majorBidi" w:cstheme="majorBidi"/>
          <w:color w:val="000000" w:themeColor="text1"/>
        </w:rPr>
        <w:t>C23; L25, E40, O16</w:t>
      </w:r>
    </w:p>
    <w:p w:rsidR="001F6847" w:rsidRPr="00E63513" w:rsidRDefault="001F6847" w:rsidP="00BD3E81">
      <w:pPr>
        <w:spacing w:after="0" w:line="240" w:lineRule="auto"/>
        <w:rPr>
          <w:rFonts w:asciiTheme="majorBidi" w:eastAsiaTheme="minorEastAsia" w:hAnsiTheme="majorBidi" w:cstheme="majorBidi"/>
          <w:color w:val="000000" w:themeColor="text1"/>
        </w:rPr>
      </w:pPr>
      <w:r w:rsidRPr="00E63513">
        <w:rPr>
          <w:rFonts w:ascii="Cambria Math" w:eastAsiaTheme="minorEastAsia" w:hAnsi="Cambria Math" w:cs="Cambria Math"/>
          <w:color w:val="000000" w:themeColor="text1"/>
        </w:rPr>
        <w:t>∗</w:t>
      </w:r>
      <w:r w:rsidR="00AF46FC" w:rsidRPr="00E63513">
        <w:rPr>
          <w:rFonts w:asciiTheme="majorBidi" w:eastAsiaTheme="minorEastAsia" w:hAnsiTheme="majorBidi" w:cstheme="majorBidi"/>
          <w:color w:val="000000" w:themeColor="text1"/>
        </w:rPr>
        <w:t>Corresponding Author;</w:t>
      </w:r>
      <w:r w:rsidRPr="00E63513">
        <w:rPr>
          <w:rFonts w:asciiTheme="majorBidi" w:eastAsiaTheme="minorEastAsia" w:hAnsiTheme="majorBidi" w:cstheme="majorBidi"/>
          <w:color w:val="000000" w:themeColor="text1"/>
        </w:rPr>
        <w:t xml:space="preserve"> Tel.: +</w:t>
      </w:r>
      <w:r w:rsidR="00BD3E81" w:rsidRPr="00E63513">
        <w:rPr>
          <w:rFonts w:asciiTheme="majorBidi" w:eastAsiaTheme="minorEastAsia" w:hAnsiTheme="majorBidi" w:cstheme="majorBidi"/>
          <w:color w:val="000000" w:themeColor="text1"/>
        </w:rPr>
        <w:t>601123604319</w:t>
      </w:r>
    </w:p>
    <w:p w:rsidR="001F6847" w:rsidRPr="00E63513" w:rsidRDefault="001F6847" w:rsidP="005958E6">
      <w:pPr>
        <w:spacing w:after="0" w:line="240" w:lineRule="auto"/>
        <w:ind w:left="720"/>
        <w:rPr>
          <w:rFonts w:asciiTheme="majorBidi" w:hAnsiTheme="majorBidi" w:cstheme="majorBidi"/>
          <w:color w:val="000000" w:themeColor="text1"/>
        </w:rPr>
      </w:pPr>
      <w:r w:rsidRPr="00E63513">
        <w:rPr>
          <w:rFonts w:asciiTheme="majorBidi" w:eastAsiaTheme="minorEastAsia" w:hAnsiTheme="majorBidi" w:cstheme="majorBidi"/>
          <w:color w:val="000000" w:themeColor="text1"/>
        </w:rPr>
        <w:t xml:space="preserve">E-mail addresses: </w:t>
      </w:r>
      <w:hyperlink r:id="rId9" w:history="1">
        <w:r w:rsidRPr="00E63513">
          <w:rPr>
            <w:rFonts w:asciiTheme="majorBidi" w:eastAsiaTheme="minorEastAsia" w:hAnsiTheme="majorBidi" w:cstheme="majorBidi"/>
            <w:color w:val="000000" w:themeColor="text1"/>
            <w:u w:val="single"/>
          </w:rPr>
          <w:t>azizalyousfi@yahoo.com</w:t>
        </w:r>
      </w:hyperlink>
      <w:r w:rsidR="005958E6" w:rsidRPr="00E63513">
        <w:rPr>
          <w:rFonts w:asciiTheme="majorBidi" w:eastAsiaTheme="minorEastAsia" w:hAnsiTheme="majorBidi" w:cstheme="majorBidi"/>
          <w:color w:val="000000" w:themeColor="text1"/>
        </w:rPr>
        <w:t xml:space="preserve"> (A.Y.H. Saif-Alyousfi</w:t>
      </w:r>
      <w:r w:rsidR="00DC3F31" w:rsidRPr="00E63513">
        <w:rPr>
          <w:rFonts w:asciiTheme="majorBidi" w:eastAsiaTheme="minorEastAsia" w:hAnsiTheme="majorBidi" w:cstheme="majorBidi"/>
          <w:color w:val="000000" w:themeColor="text1"/>
        </w:rPr>
        <w:t>)</w:t>
      </w:r>
      <w:r w:rsidR="005958E6" w:rsidRPr="00E63513">
        <w:rPr>
          <w:rFonts w:asciiTheme="majorBidi" w:eastAsiaTheme="minorEastAsia" w:hAnsiTheme="majorBidi" w:cstheme="majorBidi"/>
          <w:color w:val="000000" w:themeColor="text1"/>
        </w:rPr>
        <w:t xml:space="preserve">, </w:t>
      </w:r>
      <w:hyperlink r:id="rId10" w:history="1">
        <w:r w:rsidR="005958E6" w:rsidRPr="00E63513">
          <w:rPr>
            <w:rStyle w:val="Hyperlink"/>
            <w:rFonts w:asciiTheme="majorBidi" w:eastAsiaTheme="minorEastAsia" w:hAnsiTheme="majorBidi" w:cstheme="majorBidi"/>
            <w:color w:val="000000" w:themeColor="text1"/>
          </w:rPr>
          <w:t>asish_saha@hotmail.com</w:t>
        </w:r>
      </w:hyperlink>
      <w:r w:rsidR="00DC3F31" w:rsidRPr="00E63513">
        <w:rPr>
          <w:rFonts w:asciiTheme="majorBidi" w:eastAsiaTheme="minorEastAsia" w:hAnsiTheme="majorBidi" w:cstheme="majorBidi"/>
          <w:color w:val="000000" w:themeColor="text1"/>
        </w:rPr>
        <w:t xml:space="preserve"> </w:t>
      </w:r>
      <w:r w:rsidR="005958E6" w:rsidRPr="00E63513">
        <w:rPr>
          <w:rFonts w:asciiTheme="majorBidi" w:eastAsiaTheme="minorEastAsia" w:hAnsiTheme="majorBidi" w:cstheme="majorBidi"/>
          <w:color w:val="000000" w:themeColor="text1"/>
        </w:rPr>
        <w:t xml:space="preserve">(A. Saha), </w:t>
      </w:r>
      <w:hyperlink r:id="rId11" w:history="1">
        <w:r w:rsidRPr="00E63513">
          <w:rPr>
            <w:rFonts w:asciiTheme="majorBidi" w:eastAsiaTheme="minorEastAsia" w:hAnsiTheme="majorBidi" w:cstheme="majorBidi"/>
            <w:color w:val="000000" w:themeColor="text1"/>
            <w:u w:val="single"/>
          </w:rPr>
          <w:t>rohani@uum.edu.my</w:t>
        </w:r>
      </w:hyperlink>
      <w:r w:rsidRPr="00E63513">
        <w:rPr>
          <w:rFonts w:asciiTheme="majorBidi" w:eastAsiaTheme="minorEastAsia" w:hAnsiTheme="majorBidi" w:cstheme="majorBidi"/>
          <w:color w:val="000000" w:themeColor="text1"/>
        </w:rPr>
        <w:t xml:space="preserve"> (R. </w:t>
      </w:r>
      <w:r w:rsidRPr="00E63513">
        <w:rPr>
          <w:rFonts w:asciiTheme="majorBidi" w:hAnsiTheme="majorBidi" w:cstheme="majorBidi"/>
          <w:color w:val="000000" w:themeColor="text1"/>
        </w:rPr>
        <w:t>Md-Rus),</w:t>
      </w:r>
      <w:r w:rsidRPr="00E63513">
        <w:rPr>
          <w:rFonts w:asciiTheme="majorBidi" w:eastAsiaTheme="minorEastAsia" w:hAnsiTheme="majorBidi" w:cstheme="majorBidi"/>
          <w:color w:val="000000" w:themeColor="text1"/>
        </w:rPr>
        <w:t xml:space="preserve"> </w:t>
      </w: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1F6847" w:rsidRPr="00E63513" w:rsidRDefault="001F6847" w:rsidP="00E174F5">
      <w:pPr>
        <w:autoSpaceDE w:val="0"/>
        <w:autoSpaceDN w:val="0"/>
        <w:adjustRightInd w:val="0"/>
        <w:spacing w:after="0" w:line="240" w:lineRule="auto"/>
        <w:jc w:val="both"/>
        <w:rPr>
          <w:rFonts w:asciiTheme="majorBidi" w:eastAsia="Times New Roman" w:hAnsiTheme="majorBidi" w:cstheme="majorBidi"/>
          <w:b/>
          <w:color w:val="000000" w:themeColor="text1"/>
        </w:rPr>
      </w:pPr>
    </w:p>
    <w:p w:rsidR="0028603C" w:rsidRPr="00E63513" w:rsidRDefault="0028603C" w:rsidP="00E174F5">
      <w:pPr>
        <w:autoSpaceDE w:val="0"/>
        <w:autoSpaceDN w:val="0"/>
        <w:adjustRightInd w:val="0"/>
        <w:spacing w:after="0" w:line="240" w:lineRule="auto"/>
        <w:jc w:val="both"/>
        <w:rPr>
          <w:rFonts w:asciiTheme="majorBidi" w:eastAsia="Times New Roman" w:hAnsiTheme="majorBidi" w:cstheme="majorBidi"/>
          <w:b/>
          <w:color w:val="000000" w:themeColor="text1"/>
        </w:rPr>
        <w:sectPr w:rsidR="0028603C" w:rsidRPr="00E63513">
          <w:pgSz w:w="12240" w:h="15840"/>
          <w:pgMar w:top="1440" w:right="1440" w:bottom="1440" w:left="1440" w:header="720" w:footer="720" w:gutter="0"/>
          <w:cols w:space="720"/>
          <w:docGrid w:linePitch="360"/>
        </w:sectPr>
      </w:pPr>
    </w:p>
    <w:p w:rsidR="00EA5BAD" w:rsidRPr="00E63513" w:rsidRDefault="00C156D6" w:rsidP="00E174F5">
      <w:pPr>
        <w:tabs>
          <w:tab w:val="left" w:pos="720"/>
        </w:tabs>
        <w:autoSpaceDE w:val="0"/>
        <w:autoSpaceDN w:val="0"/>
        <w:adjustRightInd w:val="0"/>
        <w:spacing w:after="0" w:line="240" w:lineRule="auto"/>
        <w:rPr>
          <w:rFonts w:asciiTheme="majorBidi" w:eastAsia="Times New Roman" w:hAnsiTheme="majorBidi" w:cstheme="majorBidi"/>
          <w:b/>
          <w:color w:val="000000" w:themeColor="text1"/>
        </w:rPr>
      </w:pPr>
      <w:r w:rsidRPr="00E63513">
        <w:rPr>
          <w:rFonts w:asciiTheme="majorBidi" w:eastAsia="Times New Roman" w:hAnsiTheme="majorBidi" w:cstheme="majorBidi"/>
          <w:b/>
          <w:color w:val="000000" w:themeColor="text1"/>
        </w:rPr>
        <w:lastRenderedPageBreak/>
        <w:t xml:space="preserve">1. </w:t>
      </w:r>
      <w:r w:rsidR="00EA5BAD" w:rsidRPr="00E63513">
        <w:rPr>
          <w:rFonts w:asciiTheme="majorBidi" w:eastAsia="Times New Roman" w:hAnsiTheme="majorBidi" w:cstheme="majorBidi"/>
          <w:b/>
          <w:color w:val="000000" w:themeColor="text1"/>
        </w:rPr>
        <w:t>Introduction</w:t>
      </w:r>
    </w:p>
    <w:p w:rsidR="00211565" w:rsidRPr="00E63513" w:rsidRDefault="00211565" w:rsidP="00E174F5">
      <w:pPr>
        <w:tabs>
          <w:tab w:val="left" w:pos="720"/>
        </w:tabs>
        <w:autoSpaceDE w:val="0"/>
        <w:autoSpaceDN w:val="0"/>
        <w:adjustRightInd w:val="0"/>
        <w:spacing w:after="0" w:line="240" w:lineRule="auto"/>
        <w:rPr>
          <w:rFonts w:asciiTheme="majorBidi" w:eastAsia="Times New Roman" w:hAnsiTheme="majorBidi" w:cstheme="majorBidi"/>
          <w:b/>
          <w:color w:val="000000" w:themeColor="text1"/>
        </w:rPr>
      </w:pPr>
    </w:p>
    <w:p w:rsidR="00A66336" w:rsidRPr="00E63513" w:rsidRDefault="00211565" w:rsidP="00C86682">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t>In view of the fact that the banking system plays a critical role in the economic development of any country, an ongoing evaluation of the financial performances of banks assume</w:t>
      </w:r>
      <w:r w:rsidR="00CB2E8D" w:rsidRPr="00E63513">
        <w:rPr>
          <w:rFonts w:asciiTheme="majorBidi" w:hAnsiTheme="majorBidi" w:cstheme="majorBidi"/>
          <w:bCs/>
          <w:color w:val="000000" w:themeColor="text1"/>
        </w:rPr>
        <w:t>s</w:t>
      </w:r>
      <w:r w:rsidR="006D06E7" w:rsidRPr="00E63513">
        <w:rPr>
          <w:rFonts w:asciiTheme="majorBidi" w:hAnsiTheme="majorBidi" w:cstheme="majorBidi"/>
          <w:bCs/>
          <w:color w:val="000000" w:themeColor="text1"/>
        </w:rPr>
        <w:t xml:space="preserve"> </w:t>
      </w:r>
      <w:r w:rsidRPr="00E63513">
        <w:rPr>
          <w:rFonts w:asciiTheme="majorBidi" w:hAnsiTheme="majorBidi" w:cstheme="majorBidi"/>
          <w:bCs/>
          <w:color w:val="000000" w:themeColor="text1"/>
        </w:rPr>
        <w:t xml:space="preserve">critical importance not only to the regulators but also </w:t>
      </w:r>
      <w:r w:rsidR="00A66336" w:rsidRPr="00E63513">
        <w:rPr>
          <w:rFonts w:asciiTheme="majorBidi" w:hAnsiTheme="majorBidi" w:cstheme="majorBidi"/>
          <w:bCs/>
          <w:color w:val="000000" w:themeColor="text1"/>
        </w:rPr>
        <w:t xml:space="preserve">to </w:t>
      </w:r>
      <w:r w:rsidRPr="00E63513">
        <w:rPr>
          <w:rFonts w:asciiTheme="majorBidi" w:hAnsiTheme="majorBidi" w:cstheme="majorBidi"/>
          <w:bCs/>
          <w:color w:val="000000" w:themeColor="text1"/>
        </w:rPr>
        <w:t xml:space="preserve">other policy planners in the country. Efficiency in the financial performance of banks is </w:t>
      </w:r>
      <w:r w:rsidR="00A66336" w:rsidRPr="00E63513">
        <w:rPr>
          <w:rFonts w:asciiTheme="majorBidi" w:hAnsiTheme="majorBidi" w:cstheme="majorBidi"/>
          <w:bCs/>
          <w:color w:val="000000" w:themeColor="text1"/>
        </w:rPr>
        <w:t>also a key to the balanced economic development of any country.</w:t>
      </w:r>
    </w:p>
    <w:p w:rsidR="00211565" w:rsidRPr="00E63513" w:rsidRDefault="00211565" w:rsidP="00DE00F5">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t>One of the most important challenges faced by bank managers, therefore, is how to optimally use their scarce financial resources</w:t>
      </w:r>
      <w:r w:rsidR="00491696" w:rsidRPr="00E63513">
        <w:rPr>
          <w:rFonts w:asciiTheme="majorBidi" w:hAnsiTheme="majorBidi" w:cstheme="majorBidi"/>
          <w:bCs/>
          <w:color w:val="000000" w:themeColor="text1"/>
        </w:rPr>
        <w:t xml:space="preserve"> available at their command to ensure intermediation and productive efficiency and contribute to shareholders’ value</w:t>
      </w:r>
      <w:r w:rsidRPr="00E63513">
        <w:rPr>
          <w:rFonts w:asciiTheme="majorBidi" w:hAnsiTheme="majorBidi" w:cstheme="majorBidi"/>
          <w:bCs/>
          <w:color w:val="000000" w:themeColor="text1"/>
        </w:rPr>
        <w:t xml:space="preserve">. In-depth analysis and evaluation of the financial performance of different banks can identify </w:t>
      </w:r>
      <w:r w:rsidR="00BF4872" w:rsidRPr="00E63513">
        <w:rPr>
          <w:rFonts w:asciiTheme="majorBidi" w:hAnsiTheme="majorBidi" w:cstheme="majorBidi"/>
          <w:bCs/>
          <w:color w:val="000000" w:themeColor="text1"/>
        </w:rPr>
        <w:t>not only their areas of</w:t>
      </w:r>
      <w:r w:rsidRPr="00E63513">
        <w:rPr>
          <w:rFonts w:asciiTheme="majorBidi" w:hAnsiTheme="majorBidi" w:cstheme="majorBidi"/>
          <w:bCs/>
          <w:color w:val="000000" w:themeColor="text1"/>
        </w:rPr>
        <w:t xml:space="preserve"> strengths </w:t>
      </w:r>
      <w:r w:rsidR="00BF4872" w:rsidRPr="00E63513">
        <w:rPr>
          <w:rFonts w:asciiTheme="majorBidi" w:hAnsiTheme="majorBidi" w:cstheme="majorBidi"/>
          <w:bCs/>
          <w:color w:val="000000" w:themeColor="text1"/>
        </w:rPr>
        <w:t>but also their underlying</w:t>
      </w:r>
      <w:r w:rsidRPr="00E63513">
        <w:rPr>
          <w:rFonts w:asciiTheme="majorBidi" w:hAnsiTheme="majorBidi" w:cstheme="majorBidi"/>
          <w:bCs/>
          <w:color w:val="000000" w:themeColor="text1"/>
        </w:rPr>
        <w:t xml:space="preserve"> weaknesses </w:t>
      </w:r>
      <w:r w:rsidR="00BF4872" w:rsidRPr="00E63513">
        <w:rPr>
          <w:rFonts w:asciiTheme="majorBidi" w:hAnsiTheme="majorBidi" w:cstheme="majorBidi"/>
          <w:bCs/>
          <w:color w:val="000000" w:themeColor="text1"/>
        </w:rPr>
        <w:t xml:space="preserve">that enable the stakeholders </w:t>
      </w:r>
      <w:r w:rsidR="00CB2E8D" w:rsidRPr="00E63513">
        <w:rPr>
          <w:rFonts w:asciiTheme="majorBidi" w:hAnsiTheme="majorBidi" w:cstheme="majorBidi"/>
          <w:bCs/>
          <w:color w:val="000000" w:themeColor="text1"/>
        </w:rPr>
        <w:t xml:space="preserve">to </w:t>
      </w:r>
      <w:r w:rsidR="00BF4872" w:rsidRPr="00E63513">
        <w:rPr>
          <w:rFonts w:asciiTheme="majorBidi" w:hAnsiTheme="majorBidi" w:cstheme="majorBidi"/>
          <w:bCs/>
          <w:color w:val="000000" w:themeColor="text1"/>
        </w:rPr>
        <w:t>initiate appropriate co</w:t>
      </w:r>
      <w:bookmarkStart w:id="0" w:name="_GoBack"/>
      <w:bookmarkEnd w:id="0"/>
      <w:r w:rsidR="00BF4872" w:rsidRPr="00E63513">
        <w:rPr>
          <w:rFonts w:asciiTheme="majorBidi" w:hAnsiTheme="majorBidi" w:cstheme="majorBidi"/>
          <w:bCs/>
          <w:color w:val="000000" w:themeColor="text1"/>
        </w:rPr>
        <w:t>rrective action</w:t>
      </w:r>
      <w:r w:rsidRPr="00E63513">
        <w:rPr>
          <w:rFonts w:asciiTheme="majorBidi" w:hAnsiTheme="majorBidi" w:cstheme="majorBidi"/>
          <w:bCs/>
          <w:color w:val="000000" w:themeColor="text1"/>
        </w:rPr>
        <w:t xml:space="preserve">. In other words, analysis of financial performance provides an insight into how efficient a bank is in using its assets to generate profits and how the financial health was over a given period of time. </w:t>
      </w:r>
    </w:p>
    <w:p w:rsidR="00BB281A" w:rsidRPr="00E63513" w:rsidRDefault="00211565" w:rsidP="00E174F5">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r>
      <w:r w:rsidR="004C46C0" w:rsidRPr="00E63513">
        <w:rPr>
          <w:rFonts w:asciiTheme="majorBidi" w:hAnsiTheme="majorBidi" w:cstheme="majorBidi"/>
          <w:bCs/>
          <w:color w:val="000000" w:themeColor="text1"/>
        </w:rPr>
        <w:t>The banking sector, across the globe, has experienced profound changes over the past two decades. Globalisation, deregulation, financial innovation, automation etc. have a major impact on the performance of the banking sector, Saudi Arabia being not an exception. Commercial banks in Saudi Arabia have undergone immense regulatory and technological changes since financial sector reforms in 1991. Saudi Arabian banks are facing increasing competitive market and other operating costs as a result of financial and technological innovation. In addition, they are also confronted with the rising regulatory cost in the aftermath of the recent global financial crisis. These changes had a dramatic effect on the performance of the commercial and Islamic banks in the Kingdom of Saudi Arabia</w:t>
      </w:r>
    </w:p>
    <w:p w:rsidR="004C46C0" w:rsidRPr="00E63513" w:rsidRDefault="00BB281A" w:rsidP="006D06E7">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t xml:space="preserve">It </w:t>
      </w:r>
      <w:r w:rsidR="004C46C0" w:rsidRPr="00E63513">
        <w:rPr>
          <w:rFonts w:asciiTheme="majorBidi" w:hAnsiTheme="majorBidi" w:cstheme="majorBidi"/>
          <w:bCs/>
          <w:color w:val="000000" w:themeColor="text1"/>
        </w:rPr>
        <w:t>needs to be</w:t>
      </w:r>
      <w:r w:rsidRPr="00E63513">
        <w:rPr>
          <w:rFonts w:asciiTheme="majorBidi" w:hAnsiTheme="majorBidi" w:cstheme="majorBidi"/>
          <w:bCs/>
          <w:color w:val="000000" w:themeColor="text1"/>
        </w:rPr>
        <w:t xml:space="preserve"> highlighted </w:t>
      </w:r>
      <w:r w:rsidR="004C46C0" w:rsidRPr="00E63513">
        <w:rPr>
          <w:rFonts w:asciiTheme="majorBidi" w:hAnsiTheme="majorBidi" w:cstheme="majorBidi"/>
          <w:bCs/>
          <w:color w:val="000000" w:themeColor="text1"/>
        </w:rPr>
        <w:t xml:space="preserve">that </w:t>
      </w:r>
      <w:r w:rsidRPr="00E63513">
        <w:rPr>
          <w:rFonts w:asciiTheme="majorBidi" w:hAnsiTheme="majorBidi" w:cstheme="majorBidi"/>
          <w:bCs/>
          <w:color w:val="000000" w:themeColor="text1"/>
        </w:rPr>
        <w:t>th</w:t>
      </w:r>
      <w:r w:rsidR="00C86682" w:rsidRPr="00E63513">
        <w:rPr>
          <w:rFonts w:asciiTheme="majorBidi" w:hAnsiTheme="majorBidi" w:cstheme="majorBidi"/>
          <w:bCs/>
          <w:color w:val="000000" w:themeColor="text1"/>
        </w:rPr>
        <w:t>e</w:t>
      </w:r>
      <w:r w:rsidRPr="00E63513">
        <w:rPr>
          <w:rFonts w:asciiTheme="majorBidi" w:hAnsiTheme="majorBidi" w:cstheme="majorBidi"/>
          <w:bCs/>
          <w:color w:val="000000" w:themeColor="text1"/>
        </w:rPr>
        <w:t xml:space="preserve"> Middle-East countries, particularly the oil-rich Gulf Cooperation Council (GCC) states</w:t>
      </w:r>
      <w:r w:rsidR="004C46C0" w:rsidRPr="00E63513">
        <w:rPr>
          <w:rFonts w:asciiTheme="majorBidi" w:hAnsiTheme="majorBidi" w:cstheme="majorBidi"/>
          <w:bCs/>
          <w:color w:val="000000" w:themeColor="text1"/>
        </w:rPr>
        <w:t>,</w:t>
      </w:r>
      <w:r w:rsidRPr="00E63513">
        <w:rPr>
          <w:rFonts w:asciiTheme="majorBidi" w:hAnsiTheme="majorBidi" w:cstheme="majorBidi"/>
          <w:bCs/>
          <w:color w:val="000000" w:themeColor="text1"/>
        </w:rPr>
        <w:t xml:space="preserve"> are increasingly becoming the destination for international investments</w:t>
      </w:r>
      <w:r w:rsidR="004C46C0" w:rsidRPr="00E63513">
        <w:rPr>
          <w:rFonts w:asciiTheme="majorBidi" w:hAnsiTheme="majorBidi" w:cstheme="majorBidi"/>
          <w:bCs/>
          <w:color w:val="000000" w:themeColor="text1"/>
        </w:rPr>
        <w:t xml:space="preserve">. As a result, </w:t>
      </w:r>
      <w:r w:rsidRPr="00E63513">
        <w:rPr>
          <w:rFonts w:asciiTheme="majorBidi" w:hAnsiTheme="majorBidi" w:cstheme="majorBidi"/>
          <w:bCs/>
          <w:color w:val="000000" w:themeColor="text1"/>
        </w:rPr>
        <w:t>understanding the drivers of performance of the banking industry in this region is becoming increasingly important. This is particularly true for the largest economy in the GCC – Saudi Arabia, where in addition to its traditional role</w:t>
      </w:r>
      <w:r w:rsidR="004C46C0" w:rsidRPr="00E63513">
        <w:rPr>
          <w:rFonts w:asciiTheme="majorBidi" w:hAnsiTheme="majorBidi" w:cstheme="majorBidi"/>
          <w:bCs/>
          <w:color w:val="000000" w:themeColor="text1"/>
        </w:rPr>
        <w:t>,</w:t>
      </w:r>
      <w:r w:rsidRPr="00E63513">
        <w:rPr>
          <w:rFonts w:asciiTheme="majorBidi" w:hAnsiTheme="majorBidi" w:cstheme="majorBidi"/>
          <w:bCs/>
          <w:color w:val="000000" w:themeColor="text1"/>
        </w:rPr>
        <w:t xml:space="preserve"> </w:t>
      </w:r>
      <w:r w:rsidR="004C46C0" w:rsidRPr="00E63513">
        <w:rPr>
          <w:rFonts w:asciiTheme="majorBidi" w:hAnsiTheme="majorBidi" w:cstheme="majorBidi"/>
          <w:bCs/>
          <w:color w:val="000000" w:themeColor="text1"/>
        </w:rPr>
        <w:t xml:space="preserve">the entire equity brokerage functions are also carried-out by </w:t>
      </w:r>
      <w:r w:rsidR="004621A6" w:rsidRPr="00E63513">
        <w:rPr>
          <w:rFonts w:asciiTheme="majorBidi" w:hAnsiTheme="majorBidi" w:cstheme="majorBidi"/>
          <w:bCs/>
          <w:color w:val="000000" w:themeColor="text1"/>
        </w:rPr>
        <w:t>the banks in the country.</w:t>
      </w:r>
    </w:p>
    <w:p w:rsidR="00394113" w:rsidRPr="00E63513" w:rsidRDefault="00394113" w:rsidP="002D6DB7">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t>Furthermore, Saudi Arabian Monetary Agency (SAMA)</w:t>
      </w:r>
      <w:r w:rsidR="00FD386F" w:rsidRPr="00E63513">
        <w:rPr>
          <w:rFonts w:asciiTheme="majorBidi" w:hAnsiTheme="majorBidi" w:cstheme="majorBidi"/>
          <w:bCs/>
          <w:color w:val="000000" w:themeColor="text1"/>
        </w:rPr>
        <w:t>,</w:t>
      </w:r>
      <w:r w:rsidR="00FD386F" w:rsidRPr="00E63513">
        <w:rPr>
          <w:rFonts w:asciiTheme="majorBidi" w:hAnsiTheme="majorBidi" w:cstheme="majorBidi"/>
          <w:color w:val="000000" w:themeColor="text1"/>
        </w:rPr>
        <w:t xml:space="preserve"> </w:t>
      </w:r>
      <w:r w:rsidR="00FD386F" w:rsidRPr="00E63513">
        <w:rPr>
          <w:rFonts w:asciiTheme="majorBidi" w:hAnsiTheme="majorBidi" w:cstheme="majorBidi"/>
          <w:bCs/>
          <w:color w:val="000000" w:themeColor="text1"/>
        </w:rPr>
        <w:t>the central bank of the country established in 1952,</w:t>
      </w:r>
      <w:r w:rsidRPr="00E63513">
        <w:rPr>
          <w:rFonts w:asciiTheme="majorBidi" w:hAnsiTheme="majorBidi" w:cstheme="majorBidi"/>
          <w:bCs/>
          <w:color w:val="000000" w:themeColor="text1"/>
        </w:rPr>
        <w:t xml:space="preserve"> has issued a number of rules and regulations to </w:t>
      </w:r>
      <w:r w:rsidR="004621A6" w:rsidRPr="00E63513">
        <w:rPr>
          <w:rFonts w:asciiTheme="majorBidi" w:hAnsiTheme="majorBidi" w:cstheme="majorBidi"/>
          <w:bCs/>
          <w:color w:val="000000" w:themeColor="text1"/>
        </w:rPr>
        <w:t>ensure orderly</w:t>
      </w:r>
      <w:r w:rsidRPr="00E63513">
        <w:rPr>
          <w:rFonts w:asciiTheme="majorBidi" w:hAnsiTheme="majorBidi" w:cstheme="majorBidi"/>
          <w:bCs/>
          <w:color w:val="000000" w:themeColor="text1"/>
        </w:rPr>
        <w:t xml:space="preserve"> activities </w:t>
      </w:r>
      <w:r w:rsidR="004621A6" w:rsidRPr="00E63513">
        <w:rPr>
          <w:rFonts w:asciiTheme="majorBidi" w:hAnsiTheme="majorBidi" w:cstheme="majorBidi"/>
          <w:bCs/>
          <w:color w:val="000000" w:themeColor="text1"/>
        </w:rPr>
        <w:t>in</w:t>
      </w:r>
      <w:r w:rsidRPr="00E63513">
        <w:rPr>
          <w:rFonts w:asciiTheme="majorBidi" w:hAnsiTheme="majorBidi" w:cstheme="majorBidi"/>
          <w:bCs/>
          <w:color w:val="000000" w:themeColor="text1"/>
        </w:rPr>
        <w:t xml:space="preserve"> the financial sector in the Kingdom, to improve its services, to promote governance and transparency, to protect the rights of its</w:t>
      </w:r>
      <w:r w:rsidR="004621A6" w:rsidRPr="00E63513">
        <w:rPr>
          <w:rFonts w:asciiTheme="majorBidi" w:hAnsiTheme="majorBidi" w:cstheme="majorBidi"/>
          <w:bCs/>
          <w:color w:val="000000" w:themeColor="text1"/>
        </w:rPr>
        <w:t xml:space="preserve"> customers,</w:t>
      </w:r>
      <w:r w:rsidRPr="00E63513">
        <w:rPr>
          <w:rFonts w:asciiTheme="majorBidi" w:hAnsiTheme="majorBidi" w:cstheme="majorBidi"/>
          <w:bCs/>
          <w:color w:val="000000" w:themeColor="text1"/>
        </w:rPr>
        <w:t xml:space="preserve"> and </w:t>
      </w:r>
      <w:r w:rsidR="004621A6" w:rsidRPr="00E63513">
        <w:rPr>
          <w:rFonts w:asciiTheme="majorBidi" w:hAnsiTheme="majorBidi" w:cstheme="majorBidi"/>
          <w:bCs/>
          <w:color w:val="000000" w:themeColor="text1"/>
        </w:rPr>
        <w:t xml:space="preserve">also </w:t>
      </w:r>
      <w:r w:rsidRPr="00E63513">
        <w:rPr>
          <w:rFonts w:asciiTheme="majorBidi" w:hAnsiTheme="majorBidi" w:cstheme="majorBidi"/>
          <w:bCs/>
          <w:color w:val="000000" w:themeColor="text1"/>
        </w:rPr>
        <w:t xml:space="preserve">to </w:t>
      </w:r>
      <w:r w:rsidR="004621A6" w:rsidRPr="00E63513">
        <w:rPr>
          <w:rFonts w:asciiTheme="majorBidi" w:hAnsiTheme="majorBidi" w:cstheme="majorBidi"/>
          <w:bCs/>
          <w:color w:val="000000" w:themeColor="text1"/>
        </w:rPr>
        <w:t xml:space="preserve">foster </w:t>
      </w:r>
      <w:r w:rsidRPr="00E63513">
        <w:rPr>
          <w:rFonts w:asciiTheme="majorBidi" w:hAnsiTheme="majorBidi" w:cstheme="majorBidi"/>
          <w:bCs/>
          <w:color w:val="000000" w:themeColor="text1"/>
        </w:rPr>
        <w:t>a competitive environment in the country. It also contributed to the provision of better financial services by banks to meet the</w:t>
      </w:r>
      <w:r w:rsidR="004621A6" w:rsidRPr="00E63513">
        <w:rPr>
          <w:rFonts w:asciiTheme="majorBidi" w:hAnsiTheme="majorBidi" w:cstheme="majorBidi"/>
          <w:bCs/>
          <w:color w:val="000000" w:themeColor="text1"/>
        </w:rPr>
        <w:t xml:space="preserve"> emerging</w:t>
      </w:r>
      <w:r w:rsidRPr="00E63513">
        <w:rPr>
          <w:rFonts w:asciiTheme="majorBidi" w:hAnsiTheme="majorBidi" w:cstheme="majorBidi"/>
          <w:bCs/>
          <w:color w:val="000000" w:themeColor="text1"/>
        </w:rPr>
        <w:t xml:space="preserve"> needs of the market at competitive prices. Up to the end of July 2015, SAMA</w:t>
      </w:r>
      <w:r w:rsidR="004621A6" w:rsidRPr="00E63513">
        <w:rPr>
          <w:rFonts w:asciiTheme="majorBidi" w:hAnsiTheme="majorBidi" w:cstheme="majorBidi"/>
          <w:bCs/>
          <w:color w:val="000000" w:themeColor="text1"/>
        </w:rPr>
        <w:t xml:space="preserve"> has</w:t>
      </w:r>
      <w:r w:rsidRPr="00E63513">
        <w:rPr>
          <w:rFonts w:asciiTheme="majorBidi" w:hAnsiTheme="majorBidi" w:cstheme="majorBidi"/>
          <w:bCs/>
          <w:color w:val="000000" w:themeColor="text1"/>
        </w:rPr>
        <w:t xml:space="preserve"> licensed 12 banks, </w:t>
      </w:r>
      <w:r w:rsidR="004621A6" w:rsidRPr="00E63513">
        <w:rPr>
          <w:rFonts w:asciiTheme="majorBidi" w:hAnsiTheme="majorBidi" w:cstheme="majorBidi"/>
          <w:bCs/>
          <w:color w:val="000000" w:themeColor="text1"/>
        </w:rPr>
        <w:t>4</w:t>
      </w:r>
      <w:r w:rsidRPr="00E63513">
        <w:rPr>
          <w:rFonts w:asciiTheme="majorBidi" w:hAnsiTheme="majorBidi" w:cstheme="majorBidi"/>
          <w:bCs/>
          <w:color w:val="000000" w:themeColor="text1"/>
        </w:rPr>
        <w:t xml:space="preserve"> companies to conduct real estate financial activities and financial leasing, and 4 companies to carry out other financial activities. SAMA has also granted initial approvals for 11 applications for</w:t>
      </w:r>
      <w:r w:rsidR="002D6DB7" w:rsidRPr="00E63513">
        <w:rPr>
          <w:rFonts w:asciiTheme="majorBidi" w:hAnsiTheme="majorBidi" w:cstheme="majorBidi"/>
          <w:bCs/>
          <w:color w:val="000000" w:themeColor="text1"/>
        </w:rPr>
        <w:t xml:space="preserve"> banking licenses</w:t>
      </w:r>
      <w:r w:rsidR="004621A6" w:rsidRPr="00E63513">
        <w:rPr>
          <w:rFonts w:asciiTheme="majorBidi" w:hAnsiTheme="majorBidi" w:cstheme="majorBidi"/>
          <w:bCs/>
          <w:color w:val="000000" w:themeColor="text1"/>
        </w:rPr>
        <w:t xml:space="preserve">, </w:t>
      </w:r>
      <w:r w:rsidRPr="00E63513">
        <w:rPr>
          <w:rFonts w:asciiTheme="majorBidi" w:hAnsiTheme="majorBidi" w:cstheme="majorBidi"/>
          <w:bCs/>
          <w:color w:val="000000" w:themeColor="text1"/>
        </w:rPr>
        <w:t>pending the completion of the legal requirements of the Ministry of Commerce and Industry (SAMA, 2015).</w:t>
      </w:r>
    </w:p>
    <w:p w:rsidR="00BB2FCB" w:rsidRPr="00E63513" w:rsidRDefault="00D93542" w:rsidP="006208AB">
      <w:pPr>
        <w:tabs>
          <w:tab w:val="left" w:pos="720"/>
        </w:tabs>
        <w:autoSpaceDE w:val="0"/>
        <w:autoSpaceDN w:val="0"/>
        <w:adjustRightInd w:val="0"/>
        <w:spacing w:after="0" w:line="240" w:lineRule="auto"/>
        <w:jc w:val="both"/>
        <w:rPr>
          <w:rFonts w:asciiTheme="majorBidi" w:hAnsiTheme="majorBidi" w:cstheme="majorBidi"/>
          <w:bCs/>
          <w:color w:val="000000" w:themeColor="text1"/>
        </w:rPr>
      </w:pPr>
      <w:r w:rsidRPr="00E63513">
        <w:rPr>
          <w:rFonts w:asciiTheme="majorBidi" w:hAnsiTheme="majorBidi" w:cstheme="majorBidi"/>
          <w:bCs/>
          <w:color w:val="000000" w:themeColor="text1"/>
        </w:rPr>
        <w:tab/>
        <w:t>Several countries have set different standards for evaluating the financial performance of banks by using indicators</w:t>
      </w:r>
      <w:r w:rsidR="00890052" w:rsidRPr="00E63513">
        <w:rPr>
          <w:rFonts w:asciiTheme="majorBidi" w:hAnsiTheme="majorBidi" w:cstheme="majorBidi"/>
          <w:bCs/>
          <w:color w:val="000000" w:themeColor="text1"/>
        </w:rPr>
        <w:t xml:space="preserve"> of </w:t>
      </w:r>
      <w:r w:rsidRPr="00E63513">
        <w:rPr>
          <w:rFonts w:asciiTheme="majorBidi" w:hAnsiTheme="majorBidi" w:cstheme="majorBidi"/>
          <w:bCs/>
          <w:color w:val="000000" w:themeColor="text1"/>
        </w:rPr>
        <w:t>banking efficiency measurement, profitability measurement</w:t>
      </w:r>
      <w:r w:rsidR="00890052" w:rsidRPr="00E63513">
        <w:rPr>
          <w:rFonts w:asciiTheme="majorBidi" w:hAnsiTheme="majorBidi" w:cstheme="majorBidi"/>
          <w:bCs/>
          <w:color w:val="000000" w:themeColor="text1"/>
        </w:rPr>
        <w:t xml:space="preserve"> etc.</w:t>
      </w:r>
      <w:r w:rsidRPr="00E63513">
        <w:rPr>
          <w:rFonts w:asciiTheme="majorBidi" w:hAnsiTheme="majorBidi" w:cstheme="majorBidi"/>
          <w:bCs/>
          <w:color w:val="000000" w:themeColor="text1"/>
        </w:rPr>
        <w:t xml:space="preserve"> In the early 1970s, federal regulators in the USA developed the CAMEL</w:t>
      </w:r>
      <w:r w:rsidR="006208AB" w:rsidRPr="00E63513">
        <w:rPr>
          <w:rFonts w:asciiTheme="majorBidi" w:hAnsiTheme="majorBidi" w:cstheme="majorBidi"/>
          <w:bCs/>
          <w:color w:val="000000" w:themeColor="text1"/>
        </w:rPr>
        <w:t>s</w:t>
      </w:r>
      <w:r w:rsidRPr="00E63513">
        <w:rPr>
          <w:rFonts w:asciiTheme="majorBidi" w:hAnsiTheme="majorBidi" w:cstheme="majorBidi"/>
          <w:bCs/>
          <w:color w:val="000000" w:themeColor="text1"/>
        </w:rPr>
        <w:t xml:space="preserve"> rating system to assess the</w:t>
      </w:r>
      <w:r w:rsidR="00890052" w:rsidRPr="00E63513">
        <w:rPr>
          <w:rFonts w:asciiTheme="majorBidi" w:hAnsiTheme="majorBidi" w:cstheme="majorBidi"/>
          <w:bCs/>
          <w:color w:val="000000" w:themeColor="text1"/>
        </w:rPr>
        <w:t xml:space="preserve"> health of</w:t>
      </w:r>
      <w:r w:rsidRPr="00E63513">
        <w:rPr>
          <w:rFonts w:asciiTheme="majorBidi" w:hAnsiTheme="majorBidi" w:cstheme="majorBidi"/>
          <w:bCs/>
          <w:color w:val="000000" w:themeColor="text1"/>
        </w:rPr>
        <w:t xml:space="preserve"> banks. In 1979, the Uniform Financial Institutions Rating System is adopted to provide federal bank regulatory agencies with a framework for rating financial condition and performance of individual banks (Siems and Barr, 1998). </w:t>
      </w:r>
      <w:r w:rsidR="00676DA1" w:rsidRPr="00E63513">
        <w:rPr>
          <w:rFonts w:asciiTheme="majorBidi" w:hAnsiTheme="majorBidi" w:cstheme="majorBidi"/>
          <w:bCs/>
          <w:color w:val="000000" w:themeColor="text1"/>
        </w:rPr>
        <w:t>CAMEL model</w:t>
      </w:r>
      <w:r w:rsidRPr="00E63513">
        <w:rPr>
          <w:rFonts w:asciiTheme="majorBidi" w:hAnsiTheme="majorBidi" w:cstheme="majorBidi"/>
          <w:bCs/>
          <w:color w:val="000000" w:themeColor="text1"/>
        </w:rPr>
        <w:t xml:space="preserve"> aim</w:t>
      </w:r>
      <w:r w:rsidR="00676DA1" w:rsidRPr="00E63513">
        <w:rPr>
          <w:rFonts w:asciiTheme="majorBidi" w:hAnsiTheme="majorBidi" w:cstheme="majorBidi"/>
          <w:bCs/>
          <w:color w:val="000000" w:themeColor="text1"/>
        </w:rPr>
        <w:t>s</w:t>
      </w:r>
      <w:r w:rsidRPr="00E63513">
        <w:rPr>
          <w:rFonts w:asciiTheme="majorBidi" w:hAnsiTheme="majorBidi" w:cstheme="majorBidi"/>
          <w:bCs/>
          <w:color w:val="000000" w:themeColor="text1"/>
        </w:rPr>
        <w:t xml:space="preserve"> to provide a consistent and accurate estimation on the financial health of banks regarding the bank capital, asset quality, management, earning ability</w:t>
      </w:r>
      <w:r w:rsidR="003E336D" w:rsidRPr="00E63513">
        <w:rPr>
          <w:rFonts w:asciiTheme="majorBidi" w:hAnsiTheme="majorBidi" w:cstheme="majorBidi"/>
          <w:bCs/>
          <w:color w:val="000000" w:themeColor="text1"/>
        </w:rPr>
        <w:t>,</w:t>
      </w:r>
      <w:r w:rsidRPr="00E63513">
        <w:rPr>
          <w:rFonts w:asciiTheme="majorBidi" w:hAnsiTheme="majorBidi" w:cstheme="majorBidi"/>
          <w:bCs/>
          <w:color w:val="000000" w:themeColor="text1"/>
        </w:rPr>
        <w:t xml:space="preserve"> and liquidity</w:t>
      </w:r>
      <w:r w:rsidR="00676DA1" w:rsidRPr="00E63513">
        <w:rPr>
          <w:rFonts w:asciiTheme="majorBidi" w:hAnsiTheme="majorBidi" w:cstheme="majorBidi"/>
          <w:bCs/>
          <w:color w:val="000000" w:themeColor="text1"/>
        </w:rPr>
        <w:t xml:space="preserve"> which </w:t>
      </w:r>
      <w:r w:rsidR="003E336D" w:rsidRPr="00E63513">
        <w:rPr>
          <w:rFonts w:asciiTheme="majorBidi" w:hAnsiTheme="majorBidi" w:cstheme="majorBidi"/>
          <w:bCs/>
          <w:color w:val="000000" w:themeColor="text1"/>
        </w:rPr>
        <w:t>facilitates</w:t>
      </w:r>
      <w:r w:rsidR="00676DA1" w:rsidRPr="00E63513">
        <w:rPr>
          <w:rFonts w:asciiTheme="majorBidi" w:hAnsiTheme="majorBidi" w:cstheme="majorBidi"/>
          <w:bCs/>
          <w:color w:val="000000" w:themeColor="text1"/>
        </w:rPr>
        <w:t xml:space="preserve"> </w:t>
      </w:r>
      <w:r w:rsidR="003E336D" w:rsidRPr="00E63513">
        <w:rPr>
          <w:rFonts w:asciiTheme="majorBidi" w:hAnsiTheme="majorBidi" w:cstheme="majorBidi"/>
          <w:bCs/>
          <w:color w:val="000000" w:themeColor="text1"/>
        </w:rPr>
        <w:t xml:space="preserve">off-site and on-site investigations by the regulator and timely supervisory response to reduce the adverse effects of market forces on the health of the banks </w:t>
      </w:r>
      <w:r w:rsidR="003E336D" w:rsidRPr="00E63513">
        <w:rPr>
          <w:rFonts w:asciiTheme="majorBidi" w:hAnsiTheme="majorBidi" w:cstheme="majorBidi"/>
          <w:color w:val="000000" w:themeColor="text1"/>
        </w:rPr>
        <w:fldChar w:fldCharType="begin" w:fldLock="1"/>
      </w:r>
      <w:r w:rsidR="003E336D" w:rsidRPr="00E63513">
        <w:rPr>
          <w:rFonts w:asciiTheme="majorBidi" w:hAnsiTheme="majorBidi" w:cstheme="majorBidi"/>
          <w:color w:val="000000" w:themeColor="text1"/>
        </w:rPr>
        <w:instrText>ADDIN CSL_CITATION { "citationItems" : [ { "id" : "ITEM-1", "itemData" : { "author" : [ { "dropping-particle" : "", "family" : "Dang", "given" : "Uyen", "non-dropping-particle" : "", "parse-names" : false, "suffix" : "" } ], "container-title" : "Arcada University of Applied Sciences, International Business.", "id" : "ITEM-1", "issued" : { "date-parts" : [ [ "2011" ] ] }, "title" : "The CAMEL rating system in banking supervision: A case study", "type" : "article-journal" }, "uris" : [ "http://www.mendeley.com/documents/?uuid=7d86b1a0-f85c-4c7f-9519-c9736ce0cae5" ] } ], "mendeley" : { "formattedCitation" : "(Dang, 2011)", "plainTextFormattedCitation" : "(Dang, 2011)", "previouslyFormattedCitation" : "(Dang, 2011)" }, "properties" : { "noteIndex" : 0 }, "schema" : "https://github.com/citation-style-language/schema/raw/master/csl-citation.json" }</w:instrText>
      </w:r>
      <w:r w:rsidR="003E336D" w:rsidRPr="00E63513">
        <w:rPr>
          <w:rFonts w:asciiTheme="majorBidi" w:hAnsiTheme="majorBidi" w:cstheme="majorBidi"/>
          <w:color w:val="000000" w:themeColor="text1"/>
        </w:rPr>
        <w:fldChar w:fldCharType="separate"/>
      </w:r>
      <w:r w:rsidR="003E336D" w:rsidRPr="00E63513">
        <w:rPr>
          <w:rFonts w:asciiTheme="majorBidi" w:hAnsiTheme="majorBidi" w:cstheme="majorBidi"/>
          <w:noProof/>
          <w:color w:val="000000" w:themeColor="text1"/>
        </w:rPr>
        <w:t>(Dang, 2011)</w:t>
      </w:r>
      <w:r w:rsidR="003E336D" w:rsidRPr="00E63513">
        <w:rPr>
          <w:rFonts w:asciiTheme="majorBidi" w:hAnsiTheme="majorBidi" w:cstheme="majorBidi"/>
          <w:color w:val="000000" w:themeColor="text1"/>
        </w:rPr>
        <w:fldChar w:fldCharType="end"/>
      </w:r>
      <w:r w:rsidRPr="00E63513">
        <w:rPr>
          <w:rFonts w:asciiTheme="majorBidi" w:hAnsiTheme="majorBidi" w:cstheme="majorBidi"/>
          <w:bCs/>
          <w:color w:val="000000" w:themeColor="text1"/>
        </w:rPr>
        <w:t xml:space="preserve">. The </w:t>
      </w:r>
      <w:r w:rsidR="00190E0B" w:rsidRPr="00E63513">
        <w:rPr>
          <w:rFonts w:asciiTheme="majorBidi" w:hAnsiTheme="majorBidi" w:cstheme="majorBidi"/>
          <w:bCs/>
          <w:color w:val="000000" w:themeColor="text1"/>
        </w:rPr>
        <w:t>values of the CAMEL parameters validate</w:t>
      </w:r>
      <w:r w:rsidRPr="00E63513">
        <w:rPr>
          <w:rFonts w:asciiTheme="majorBidi" w:hAnsiTheme="majorBidi" w:cstheme="majorBidi"/>
          <w:bCs/>
          <w:color w:val="000000" w:themeColor="text1"/>
        </w:rPr>
        <w:t xml:space="preserve"> the </w:t>
      </w:r>
      <w:r w:rsidR="003E336D" w:rsidRPr="00E63513">
        <w:rPr>
          <w:rFonts w:asciiTheme="majorBidi" w:hAnsiTheme="majorBidi" w:cstheme="majorBidi"/>
          <w:bCs/>
          <w:color w:val="000000" w:themeColor="text1"/>
        </w:rPr>
        <w:t xml:space="preserve">robustness of the </w:t>
      </w:r>
      <w:r w:rsidRPr="00E63513">
        <w:rPr>
          <w:rFonts w:asciiTheme="majorBidi" w:hAnsiTheme="majorBidi" w:cstheme="majorBidi"/>
          <w:bCs/>
          <w:color w:val="000000" w:themeColor="text1"/>
        </w:rPr>
        <w:t xml:space="preserve">health of banks and </w:t>
      </w:r>
      <w:r w:rsidR="003E336D" w:rsidRPr="00E63513">
        <w:rPr>
          <w:rFonts w:asciiTheme="majorBidi" w:hAnsiTheme="majorBidi" w:cstheme="majorBidi"/>
          <w:bCs/>
          <w:color w:val="000000" w:themeColor="text1"/>
        </w:rPr>
        <w:t>their ability to face</w:t>
      </w:r>
      <w:r w:rsidRPr="00E63513">
        <w:rPr>
          <w:rFonts w:asciiTheme="majorBidi" w:hAnsiTheme="majorBidi" w:cstheme="majorBidi"/>
          <w:bCs/>
          <w:color w:val="000000" w:themeColor="text1"/>
        </w:rPr>
        <w:t xml:space="preserve"> market risk. </w:t>
      </w:r>
    </w:p>
    <w:p w:rsidR="00EC1DA5" w:rsidRPr="00E63513" w:rsidRDefault="00ED3702" w:rsidP="00ED3702">
      <w:pPr>
        <w:spacing w:after="0" w:line="240" w:lineRule="auto"/>
        <w:ind w:firstLine="720"/>
        <w:jc w:val="both"/>
        <w:rPr>
          <w:rFonts w:asciiTheme="majorBidi" w:hAnsiTheme="majorBidi" w:cstheme="majorBidi"/>
          <w:bCs/>
          <w:color w:val="000000" w:themeColor="text1"/>
        </w:rPr>
      </w:pPr>
      <w:r w:rsidRPr="00E63513">
        <w:rPr>
          <w:rFonts w:asciiTheme="majorBidi" w:hAnsiTheme="majorBidi" w:cstheme="majorBidi"/>
          <w:bCs/>
          <w:color w:val="000000" w:themeColor="text1"/>
        </w:rPr>
        <w:t xml:space="preserve">Several studies have been undertaken on the subject of the financial performance of commercial banks in many developed or emerging countries. There is, however, no comparative analysis between the financial performances of the listed Saudi Islamic and conventional banks using CAMELs model </w:t>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"DOI" : "10.1108/17538391011054354", "author" : [ { "dropping-particle" : "", "family" : "Akhtar", "given" : "Mohammad Hanif", "non-dropping-particle" : "", "parse-names" : false, "suffix" : "" } ], "container-title" : "International Journal of Islamic and Middle Eastern Finance", "id" : "ITEM-1", "issue" : "2", "issued" : { "date-parts" : [ [ "2010" ] ] }, "page" : "95-112", "title" : "Are Saudi banks productive and efficient ?", "type" : "article-journal", "volume" : "3" }, "uris" : [ "http://www.mendeley.com/documents/?uuid=a83d57c0-f143-49c3-90b0-ee2528960568" ] }, { "id" : "ITEM-2", "itemData" : { "author" : [ { "dropping-particle" : "", "family" : "Almumani", "given" : "Mohammad Abdelkarim", "non-dropping-particle" : "", "parse-names" : false, "suffix" : "" } ], "container-title" : "Interdisciplinary Journal of Research in Business", "id" : "ITEM-2", "issue" : "2", "issued" : { "date-parts" : [ [ "2013" ] ] }, "page" : "1-10", "title" : "Liquidity risk management : A comparative study between Saudi and Jordanian banks", "type" : "article-journal", "volume" : "3" }, "uris" : [ "http://www.mendeley.com/documents/?uuid=e81f7832-04e7-48cf-b823-6be0252277f3" ] }, { "id" : "ITEM-3", "itemData" : { "DOI" : "10.1108/02652329410063223", "ISBN" : "0265232941006", "author" : [ { "dropping-particle" : "", "family" : "Almumani", "given" : "Mohammad Abdelkarim", "non-dropping-particle" : "", "parse-names" : false, "suffix" : "" } ], "container-title" : "Asian Journal of Research in Banking &amp; Finance", "id" : "ITEM-3", "issue" : "2", "issued" : { "date-parts" : [ [ "2014" ] ] }, "page" : "18-20", "title" : "A comparison of financial performance of Saudi banks", "type" : "article-journal", "volume" : "4" }, "uris" : [ "http://www.mendeley.com/documents/?uuid=abfe27ae-fbe2-467b-9c78-5bb48ab62e71" ] }, { "id" : "ITEM-4", "itemData" : { "DOI" : "10.6007/IJARAFMS/v3-i4/21", "author" : [ { "dropping-particle" : "", "family" : "Almazari", "given" : "Ahmad Arif", "non-dropping-particle" : "", "parse-names" : false, "suffix" : "" } ], "container-title" : "International Journal of Academic Research in Accounting, Finance and Management Sciences", "id" : "ITEM-4", "issue" : "4", "issued" : { "date-parts" : [ [ "2013" ] ] }, "page" : "284-293", "title" : "Capital adequacy, cost income ratio and the performance of Saudi banks (2007-2011)", "type" : "article-journal", "volume" : "3" }, "uris" : [ "http://www.mendeley.com/documents/?uuid=b7714760-36e0-44e2-b359-f6cd52105d03" ] }, { "id" : "ITEM-5", "itemData" : { "DOI" : "10.1108/17538391311310734", "author" : [ { "dropping-particle" : "", "family" : "Abraham", "given" : "Abraham", "non-dropping-particle" : "", "parse-names" : false, "suffix" : "" } ], "container-title" : "International Journal of Islamic and Middle Eastern Finance and Management", "id" : "ITEM-5", "issue" : "1", "issued" : { "date-parts" : [ [ "2013" ] ] }, "page" : "43-50", "title" : "Foreign ownership and bank performance metrics in Saudi Arabia", "type" : "article-journal", "volume" : "6" }, "uris" : [ "http://www.mendeley.com/documents/?uuid=1e8f6009-c235-4992-af53-57ffbd30d269" ] } ], "mendeley" : { "formattedCitation" : "(Abraham, 2013; Akhtar, 2010; Almazari, 2013; Almumani, 2013a, 2014)", "manualFormatting" : "(e.g., Abraham, 2013; Akhtar, 2010; Almazari, 2013; Almumani, 2013, 2014)", "plainTextFormattedCitation" : "(Abraham, 2013; Akhtar, 2010; Almazari, 2013; Almumani, 2013a, 2014)", "previouslyFormattedCitation" : "(Abraham, 2013; Akhtar, 2010; Almazari, 2013; Almumani, 2013a, 2014)"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(e.g., Abraham, 2013; Akhtar, 2010; Almazari, 2013; Almumani, 2013, 2014)</w:t>
      </w:r>
      <w:r w:rsidRPr="00E63513">
        <w:rPr>
          <w:rFonts w:asciiTheme="majorBidi" w:hAnsiTheme="majorBidi" w:cstheme="majorBidi"/>
          <w:color w:val="000000" w:themeColor="text1"/>
        </w:rPr>
        <w:fldChar w:fldCharType="end"/>
      </w:r>
      <w:r w:rsidRPr="00E63513">
        <w:rPr>
          <w:rFonts w:asciiTheme="majorBidi" w:hAnsiTheme="majorBidi" w:cstheme="majorBidi"/>
          <w:bCs/>
          <w:color w:val="000000" w:themeColor="text1"/>
        </w:rPr>
        <w:t xml:space="preserve">. This study fills this important gap in the literature by looking at the financial performances of the Islamic and conventional bank on a </w:t>
      </w:r>
      <w:r w:rsidRPr="00E63513">
        <w:rPr>
          <w:rFonts w:asciiTheme="majorBidi" w:hAnsiTheme="majorBidi" w:cstheme="majorBidi"/>
          <w:bCs/>
          <w:color w:val="000000" w:themeColor="text1"/>
        </w:rPr>
        <w:lastRenderedPageBreak/>
        <w:t>comprehensive basis and hence represents an important contribution relevant to all concerned.  The present study seeks to analyse the financial performance of the Islamic and conventional bank banks in the Kingdom of Saudi Arabia using CAMELs model over the period 2000-2014</w:t>
      </w:r>
      <w:r w:rsidR="00226C9D" w:rsidRPr="00E63513">
        <w:rPr>
          <w:rFonts w:asciiTheme="majorBidi" w:hAnsiTheme="majorBidi" w:cstheme="majorBidi"/>
          <w:bCs/>
          <w:color w:val="000000" w:themeColor="text1"/>
        </w:rPr>
        <w:t>.</w:t>
      </w:r>
    </w:p>
    <w:p w:rsidR="00E658CA" w:rsidRPr="00E63513" w:rsidRDefault="000B550F" w:rsidP="0007221A">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Our paper contributes to the banking literature in the following ways. First, to the best knowledge of the researchers, for the first time, both accounting-based and market-based measures are applied to measure bank </w:t>
      </w:r>
      <w:r w:rsidR="00FF037D" w:rsidRPr="00E63513">
        <w:rPr>
          <w:rFonts w:asciiTheme="majorBidi" w:hAnsiTheme="majorBidi" w:cstheme="majorBidi"/>
          <w:color w:val="000000" w:themeColor="text1"/>
        </w:rPr>
        <w:t>shareholders</w:t>
      </w:r>
      <w:r w:rsidR="006B2CB4" w:rsidRPr="00E63513">
        <w:rPr>
          <w:rFonts w:asciiTheme="majorBidi" w:hAnsiTheme="majorBidi" w:cstheme="majorBidi"/>
          <w:color w:val="000000" w:themeColor="text1"/>
        </w:rPr>
        <w:t>’</w:t>
      </w:r>
      <w:r w:rsidR="00FF037D" w:rsidRPr="00E63513">
        <w:rPr>
          <w:rFonts w:asciiTheme="majorBidi" w:hAnsiTheme="majorBidi" w:cstheme="majorBidi"/>
          <w:color w:val="000000" w:themeColor="text1"/>
        </w:rPr>
        <w:t xml:space="preserve"> value</w:t>
      </w:r>
      <w:r w:rsidRPr="00E63513">
        <w:rPr>
          <w:rFonts w:asciiTheme="majorBidi" w:hAnsiTheme="majorBidi" w:cstheme="majorBidi"/>
          <w:color w:val="000000" w:themeColor="text1"/>
        </w:rPr>
        <w:t xml:space="preserve">. </w:t>
      </w:r>
      <w:r w:rsidR="0017020F" w:rsidRPr="00E63513">
        <w:rPr>
          <w:rFonts w:asciiTheme="majorBidi" w:hAnsiTheme="majorBidi" w:cstheme="majorBidi"/>
          <w:color w:val="000000" w:themeColor="text1"/>
        </w:rPr>
        <w:t>In other words, banking literature has only focused on the effect of CAMELs model on bank profitability (ROA, ROE</w:t>
      </w:r>
      <w:r w:rsidR="00B669A2" w:rsidRPr="00E63513">
        <w:rPr>
          <w:rFonts w:asciiTheme="majorBidi" w:hAnsiTheme="majorBidi" w:cstheme="majorBidi"/>
          <w:color w:val="000000" w:themeColor="text1"/>
        </w:rPr>
        <w:t>,</w:t>
      </w:r>
      <w:r w:rsidR="0017020F" w:rsidRPr="00E63513">
        <w:rPr>
          <w:rFonts w:asciiTheme="majorBidi" w:hAnsiTheme="majorBidi" w:cstheme="majorBidi"/>
          <w:color w:val="000000" w:themeColor="text1"/>
        </w:rPr>
        <w:t xml:space="preserve"> and NIM), while their effect on bank </w:t>
      </w:r>
      <w:r w:rsidR="00FF037D" w:rsidRPr="00E63513">
        <w:rPr>
          <w:rFonts w:asciiTheme="majorBidi" w:hAnsiTheme="majorBidi" w:cstheme="majorBidi"/>
          <w:color w:val="000000" w:themeColor="text1"/>
        </w:rPr>
        <w:t>shareholders</w:t>
      </w:r>
      <w:r w:rsidR="006B2CB4" w:rsidRPr="00E63513">
        <w:rPr>
          <w:rFonts w:asciiTheme="majorBidi" w:hAnsiTheme="majorBidi" w:cstheme="majorBidi"/>
          <w:color w:val="000000" w:themeColor="text1"/>
        </w:rPr>
        <w:t>’</w:t>
      </w:r>
      <w:r w:rsidR="00FF037D" w:rsidRPr="00E63513">
        <w:rPr>
          <w:rFonts w:asciiTheme="majorBidi" w:hAnsiTheme="majorBidi" w:cstheme="majorBidi"/>
          <w:color w:val="000000" w:themeColor="text1"/>
        </w:rPr>
        <w:t xml:space="preserve"> value</w:t>
      </w:r>
      <w:r w:rsidR="0017020F" w:rsidRPr="00E63513">
        <w:rPr>
          <w:rFonts w:asciiTheme="majorBidi" w:hAnsiTheme="majorBidi" w:cstheme="majorBidi"/>
          <w:color w:val="000000" w:themeColor="text1"/>
        </w:rPr>
        <w:t xml:space="preserve"> has not been examined so far as </w:t>
      </w:r>
      <w:r w:rsidR="00C86682" w:rsidRPr="00E63513">
        <w:rPr>
          <w:rFonts w:asciiTheme="majorBidi" w:hAnsiTheme="majorBidi" w:cstheme="majorBidi"/>
          <w:color w:val="000000" w:themeColor="text1"/>
        </w:rPr>
        <w:t xml:space="preserve">is done </w:t>
      </w:r>
      <w:r w:rsidR="0017020F" w:rsidRPr="00E63513">
        <w:rPr>
          <w:rFonts w:asciiTheme="majorBidi" w:hAnsiTheme="majorBidi" w:cstheme="majorBidi"/>
          <w:color w:val="000000" w:themeColor="text1"/>
        </w:rPr>
        <w:t xml:space="preserve">in our study, despite that market-based </w:t>
      </w:r>
      <w:r w:rsidR="00FF037D" w:rsidRPr="00E63513">
        <w:rPr>
          <w:rFonts w:asciiTheme="majorBidi" w:hAnsiTheme="majorBidi" w:cstheme="majorBidi"/>
          <w:color w:val="000000" w:themeColor="text1"/>
        </w:rPr>
        <w:t>shareholders</w:t>
      </w:r>
      <w:r w:rsidR="00B669A2" w:rsidRPr="00E63513">
        <w:rPr>
          <w:rFonts w:asciiTheme="majorBidi" w:hAnsiTheme="majorBidi" w:cstheme="majorBidi"/>
          <w:color w:val="000000" w:themeColor="text1"/>
        </w:rPr>
        <w:t>’</w:t>
      </w:r>
      <w:r w:rsidR="00FF037D" w:rsidRPr="00E63513">
        <w:rPr>
          <w:rFonts w:asciiTheme="majorBidi" w:hAnsiTheme="majorBidi" w:cstheme="majorBidi"/>
          <w:color w:val="000000" w:themeColor="text1"/>
        </w:rPr>
        <w:t xml:space="preserve"> value</w:t>
      </w:r>
      <w:r w:rsidR="0017020F" w:rsidRPr="00E63513">
        <w:rPr>
          <w:rFonts w:asciiTheme="majorBidi" w:hAnsiTheme="majorBidi" w:cstheme="majorBidi"/>
          <w:color w:val="000000" w:themeColor="text1"/>
        </w:rPr>
        <w:t xml:space="preserve"> (Tobin's Q) reflects the current discounted value and future likely earnings </w:t>
      </w:r>
      <w:r w:rsidR="0017020F" w:rsidRPr="00E63513">
        <w:rPr>
          <w:rFonts w:asciiTheme="majorBidi" w:hAnsiTheme="majorBidi" w:cstheme="majorBidi"/>
          <w:color w:val="000000" w:themeColor="text1"/>
        </w:rPr>
        <w:fldChar w:fldCharType="begin" w:fldLock="1"/>
      </w:r>
      <w:r w:rsidR="001153BA" w:rsidRPr="00E63513">
        <w:rPr>
          <w:rFonts w:asciiTheme="majorBidi" w:hAnsiTheme="majorBidi" w:cstheme="majorBidi"/>
          <w:color w:val="000000" w:themeColor="text1"/>
        </w:rPr>
        <w:instrText>ADDIN CSL_CITATION { "citationItems" : [ { "id" : "ITEM-1", "itemData" : { "DOI" : "10.1016/j.jbankfin.2007.12.009", "author" : [ { "dropping-particle" : "De", "family" : "Jonghe", "given" : "Olivier", "non-dropping-particle" : "", "parse-names" : false, "suffix" : "" }, { "dropping-particle" : "Vander", "family" : "Vennet", "given" : "Rudi", "non-dropping-particle" : "", "parse-names" : false, "suffix" : "" } ], "container-title" : "Journal of Banking and Finance", "id" : "ITEM-1", "issue" : "1", "issued" : { "date-parts" : [ [ "2008" ] ] }, "page" : "1829-2835", "title" : "Competition versus efficiency : What drives franchise values in European banking ?", "type" : "article-journal", "volume" : "32" }, "uris" : [ "http://www.mendeley.com/documents/?uuid=ad8481fa-1980-4d66-9fd4-15aaa6ee4603" ] } ], "mendeley" : { "formattedCitation" : "(Jonghe &amp; Vennet, 2008)", "manualFormatting" : "(Jonghe and Vennet, 2008)", "plainTextFormattedCitation" : "(Jonghe &amp; Vennet, 2008)", "previouslyFormattedCitation" : "(Jonghe &amp; Vennet, 2008)" }, "properties" : { "noteIndex" : 0 }, "schema" : "https://github.com/citation-style-language/schema/raw/master/csl-citation.json" }</w:instrText>
      </w:r>
      <w:r w:rsidR="0017020F" w:rsidRPr="00E63513">
        <w:rPr>
          <w:rFonts w:asciiTheme="majorBidi" w:hAnsiTheme="majorBidi" w:cstheme="majorBidi"/>
          <w:color w:val="000000" w:themeColor="text1"/>
        </w:rPr>
        <w:fldChar w:fldCharType="separate"/>
      </w:r>
      <w:r w:rsidR="0017020F" w:rsidRPr="00E63513">
        <w:rPr>
          <w:rFonts w:asciiTheme="majorBidi" w:hAnsiTheme="majorBidi" w:cstheme="majorBidi"/>
          <w:noProof/>
          <w:color w:val="000000" w:themeColor="text1"/>
        </w:rPr>
        <w:t xml:space="preserve">(Jonghe </w:t>
      </w:r>
      <w:r w:rsidR="001153BA" w:rsidRPr="00E63513">
        <w:rPr>
          <w:rFonts w:asciiTheme="majorBidi" w:hAnsiTheme="majorBidi" w:cstheme="majorBidi"/>
          <w:noProof/>
          <w:color w:val="000000" w:themeColor="text1"/>
        </w:rPr>
        <w:t>and</w:t>
      </w:r>
      <w:r w:rsidR="0017020F" w:rsidRPr="00E63513">
        <w:rPr>
          <w:rFonts w:asciiTheme="majorBidi" w:hAnsiTheme="majorBidi" w:cstheme="majorBidi"/>
          <w:noProof/>
          <w:color w:val="000000" w:themeColor="text1"/>
        </w:rPr>
        <w:t xml:space="preserve"> Vennet, 2008)</w:t>
      </w:r>
      <w:r w:rsidR="0017020F" w:rsidRPr="00E63513">
        <w:rPr>
          <w:rFonts w:asciiTheme="majorBidi" w:hAnsiTheme="majorBidi" w:cstheme="majorBidi"/>
          <w:color w:val="000000" w:themeColor="text1"/>
        </w:rPr>
        <w:fldChar w:fldCharType="end"/>
      </w:r>
      <w:r w:rsidR="0017020F" w:rsidRPr="00E63513">
        <w:rPr>
          <w:rFonts w:asciiTheme="majorBidi" w:hAnsiTheme="majorBidi" w:cstheme="majorBidi"/>
          <w:color w:val="000000" w:themeColor="text1"/>
        </w:rPr>
        <w:t>.</w:t>
      </w:r>
      <w:r w:rsidR="00F77549"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Second, we also analy</w:t>
      </w:r>
      <w:r w:rsidR="006B2CB4" w:rsidRPr="00E63513">
        <w:rPr>
          <w:rFonts w:asciiTheme="majorBidi" w:hAnsiTheme="majorBidi" w:cstheme="majorBidi"/>
          <w:color w:val="000000" w:themeColor="text1"/>
        </w:rPr>
        <w:t>s</w:t>
      </w:r>
      <w:r w:rsidRPr="00E63513">
        <w:rPr>
          <w:rFonts w:asciiTheme="majorBidi" w:hAnsiTheme="majorBidi" w:cstheme="majorBidi"/>
          <w:color w:val="000000" w:themeColor="text1"/>
        </w:rPr>
        <w:t xml:space="preserve">e and compare between Islamic and conventional banks separately in our study. Third, we employ both of the traditional estimators of panel data: pooled-OLS and random effects </w:t>
      </w:r>
      <w:r w:rsidR="0007221A" w:rsidRPr="00E63513">
        <w:rPr>
          <w:rFonts w:asciiTheme="majorBidi" w:hAnsiTheme="majorBidi" w:cstheme="majorBidi"/>
          <w:color w:val="000000" w:themeColor="text1"/>
        </w:rPr>
        <w:t xml:space="preserve">model </w:t>
      </w:r>
      <w:r w:rsidRPr="00E63513">
        <w:rPr>
          <w:rFonts w:asciiTheme="majorBidi" w:hAnsiTheme="majorBidi" w:cstheme="majorBidi"/>
          <w:color w:val="000000" w:themeColor="text1"/>
        </w:rPr>
        <w:t>to c</w:t>
      </w:r>
      <w:r w:rsidR="0015540E" w:rsidRPr="00E63513">
        <w:rPr>
          <w:rFonts w:asciiTheme="majorBidi" w:hAnsiTheme="majorBidi" w:cstheme="majorBidi"/>
          <w:color w:val="000000" w:themeColor="text1"/>
        </w:rPr>
        <w:t xml:space="preserve">apture the relationship between </w:t>
      </w:r>
      <w:r w:rsidRPr="00E63513">
        <w:rPr>
          <w:rFonts w:asciiTheme="majorBidi" w:hAnsiTheme="majorBidi" w:cstheme="majorBidi"/>
          <w:color w:val="000000" w:themeColor="text1"/>
        </w:rPr>
        <w:t xml:space="preserve">CAMELs model and bank </w:t>
      </w:r>
      <w:r w:rsidR="00FF037D" w:rsidRPr="00E63513">
        <w:rPr>
          <w:rFonts w:asciiTheme="majorBidi" w:hAnsiTheme="majorBidi" w:cstheme="majorBidi"/>
          <w:color w:val="000000" w:themeColor="text1"/>
        </w:rPr>
        <w:t>shareholders value</w:t>
      </w:r>
      <w:r w:rsidRPr="00E63513">
        <w:rPr>
          <w:rFonts w:asciiTheme="majorBidi" w:hAnsiTheme="majorBidi" w:cstheme="majorBidi"/>
          <w:color w:val="000000" w:themeColor="text1"/>
        </w:rPr>
        <w:t xml:space="preserve"> for both Islamic and conventional banks.  </w:t>
      </w:r>
    </w:p>
    <w:p w:rsidR="000B550F" w:rsidRPr="00E63513" w:rsidRDefault="00E658CA" w:rsidP="00E174F5">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The remainder of the paper is structured as follows. Section 2 highlights the relevant literature and overview of the Saudi Arabian banking industry. Section 3 explains the data and methods used. Section 4 outlines the findings, and Section 5 concludes.</w:t>
      </w:r>
    </w:p>
    <w:p w:rsidR="00226C9D" w:rsidRPr="00E63513" w:rsidRDefault="00226C9D" w:rsidP="00E174F5">
      <w:pPr>
        <w:tabs>
          <w:tab w:val="left" w:pos="720"/>
        </w:tabs>
        <w:autoSpaceDE w:val="0"/>
        <w:autoSpaceDN w:val="0"/>
        <w:adjustRightInd w:val="0"/>
        <w:spacing w:after="0" w:line="240" w:lineRule="auto"/>
        <w:jc w:val="both"/>
        <w:rPr>
          <w:rFonts w:asciiTheme="majorBidi" w:hAnsiTheme="majorBidi" w:cstheme="majorBidi"/>
          <w:bCs/>
          <w:color w:val="000000" w:themeColor="text1"/>
        </w:rPr>
      </w:pPr>
    </w:p>
    <w:p w:rsidR="00226C9D" w:rsidRPr="00E63513" w:rsidRDefault="00226C9D" w:rsidP="00E174F5">
      <w:pPr>
        <w:tabs>
          <w:tab w:val="left" w:pos="720"/>
        </w:tabs>
        <w:autoSpaceDE w:val="0"/>
        <w:autoSpaceDN w:val="0"/>
        <w:adjustRightInd w:val="0"/>
        <w:spacing w:after="0" w:line="240" w:lineRule="auto"/>
        <w:jc w:val="both"/>
        <w:rPr>
          <w:rFonts w:asciiTheme="majorBidi" w:hAnsiTheme="majorBidi" w:cstheme="majorBidi"/>
          <w:bCs/>
          <w:color w:val="000000" w:themeColor="text1"/>
        </w:rPr>
      </w:pPr>
    </w:p>
    <w:p w:rsidR="002B5879" w:rsidRPr="00E63513" w:rsidRDefault="0015540E"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 xml:space="preserve">2. </w:t>
      </w:r>
      <w:r w:rsidR="002B5879" w:rsidRPr="00E63513">
        <w:rPr>
          <w:rFonts w:asciiTheme="majorBidi" w:hAnsiTheme="majorBidi" w:cstheme="majorBidi"/>
          <w:b/>
          <w:bCs/>
          <w:color w:val="000000" w:themeColor="text1"/>
        </w:rPr>
        <w:t>Literature Review</w:t>
      </w:r>
    </w:p>
    <w:p w:rsidR="00732FBE" w:rsidRPr="00E63513" w:rsidRDefault="00732FBE"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p>
    <w:p w:rsidR="00423F59" w:rsidRPr="00E63513" w:rsidRDefault="00423F59"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2.</w:t>
      </w:r>
      <w:r w:rsidR="00D325A5" w:rsidRPr="00E63513">
        <w:rPr>
          <w:rFonts w:asciiTheme="majorBidi" w:hAnsiTheme="majorBidi" w:cstheme="majorBidi"/>
          <w:b/>
          <w:bCs/>
          <w:color w:val="000000" w:themeColor="text1"/>
        </w:rPr>
        <w:t xml:space="preserve">1. </w:t>
      </w:r>
      <w:r w:rsidR="00F77549" w:rsidRPr="00E63513">
        <w:rPr>
          <w:rFonts w:asciiTheme="majorBidi" w:hAnsiTheme="majorBidi" w:cstheme="majorBidi"/>
          <w:b/>
          <w:bCs/>
          <w:color w:val="000000" w:themeColor="text1"/>
        </w:rPr>
        <w:t>Related literature on bank p</w:t>
      </w:r>
      <w:r w:rsidRPr="00E63513">
        <w:rPr>
          <w:rFonts w:asciiTheme="majorBidi" w:hAnsiTheme="majorBidi" w:cstheme="majorBidi"/>
          <w:b/>
          <w:bCs/>
          <w:color w:val="000000" w:themeColor="text1"/>
        </w:rPr>
        <w:t>erformance</w:t>
      </w:r>
    </w:p>
    <w:p w:rsidR="00F77549" w:rsidRPr="00E63513" w:rsidRDefault="00F77549"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p>
    <w:p w:rsidR="005269E1" w:rsidRPr="00E63513" w:rsidRDefault="00DD144D" w:rsidP="00E174F5">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AF2F48" w:rsidRPr="00E63513">
        <w:rPr>
          <w:rFonts w:asciiTheme="majorBidi" w:hAnsiTheme="majorBidi" w:cstheme="majorBidi"/>
          <w:color w:val="000000" w:themeColor="text1"/>
        </w:rPr>
        <w:fldChar w:fldCharType="begin" w:fldLock="1"/>
      </w:r>
      <w:r w:rsidR="00AF2F48" w:rsidRPr="00E63513">
        <w:rPr>
          <w:rFonts w:asciiTheme="majorBidi" w:hAnsiTheme="majorBidi" w:cstheme="majorBidi"/>
          <w:color w:val="000000" w:themeColor="text1"/>
        </w:rPr>
        <w:instrText>ADDIN CSL_CITATION { "citationItems" : [ { "id" : "ITEM-1", "itemData" : { "author" : [ { "dropping-particle" : "", "family" : "Sangmi", "given" : "D Mohi-ud-Din", "non-dropping-particle" : "", "parse-names" : false, "suffix" : "" }, { "dropping-particle" : "", "family" : "Nazir", "given" : "Tabassum", "non-dropping-particle" : "", "parse-names" : false, "suffix" : "" } ], "container-title" : "Pakistan Journal of Commerce and Social Sciences", "id" : "ITEM-1", "issue" : "1", "issued" : { "date-parts" : [ [ "2010" ] ] }, "page" : "40-55", "title" : "Analyzing financial performance of commercial banks in India: Application of CAMEL model", "type" : "article-journal", "volume" : "4" }, "uris" : [ "http://www.mendeley.com/documents/?uuid=4b698d29-f03b-4141-869b-14140b0a976b" ] } ], "mendeley" : { "formattedCitation" : "(Sangmi &amp; Nazir, 2010)", "manualFormatting" : "Sangmi and Nazir (2010)", "plainTextFormattedCitation" : "(Sangmi &amp; Nazir, 2010)", "previouslyFormattedCitation" : "(Sangmi &amp; Nazir, 2010)" }, "properties" : { "noteIndex" : 0 }, "schema" : "https://github.com/citation-style-language/schema/raw/master/csl-citation.json" }</w:instrText>
      </w:r>
      <w:r w:rsidR="00AF2F48" w:rsidRPr="00E63513">
        <w:rPr>
          <w:rFonts w:asciiTheme="majorBidi" w:hAnsiTheme="majorBidi" w:cstheme="majorBidi"/>
          <w:color w:val="000000" w:themeColor="text1"/>
        </w:rPr>
        <w:fldChar w:fldCharType="separate"/>
      </w:r>
      <w:r w:rsidR="00AF2F48" w:rsidRPr="00E63513">
        <w:rPr>
          <w:rFonts w:asciiTheme="majorBidi" w:hAnsiTheme="majorBidi" w:cstheme="majorBidi"/>
          <w:noProof/>
          <w:color w:val="000000" w:themeColor="text1"/>
        </w:rPr>
        <w:t>Sangmi and Nazir (2010)</w:t>
      </w:r>
      <w:r w:rsidR="00AF2F48" w:rsidRPr="00E63513">
        <w:rPr>
          <w:rFonts w:asciiTheme="majorBidi" w:hAnsiTheme="majorBidi" w:cstheme="majorBidi"/>
          <w:color w:val="000000" w:themeColor="text1"/>
        </w:rPr>
        <w:fldChar w:fldCharType="end"/>
      </w:r>
      <w:r w:rsidR="00AF2F48" w:rsidRPr="00E63513">
        <w:rPr>
          <w:rFonts w:asciiTheme="majorBidi" w:hAnsiTheme="majorBidi" w:cstheme="majorBidi"/>
          <w:color w:val="000000" w:themeColor="text1"/>
        </w:rPr>
        <w:t xml:space="preserve"> examine</w:t>
      </w:r>
      <w:r w:rsidRPr="00E63513">
        <w:rPr>
          <w:rFonts w:asciiTheme="majorBidi" w:hAnsiTheme="majorBidi" w:cstheme="majorBidi"/>
          <w:color w:val="000000" w:themeColor="text1"/>
        </w:rPr>
        <w:t xml:space="preserve"> the financial performance of the two main commercial banks in the Northern part of India using the CAMEL model for the period of 2001-2005. Their findings show that the two banks under review have a satisfactory and sound position based on the results of their management capability and liquidity, asset quality, and capital adequacy. </w:t>
      </w:r>
      <w:r w:rsidR="00D72114" w:rsidRPr="00E63513">
        <w:rPr>
          <w:rFonts w:asciiTheme="majorBidi" w:hAnsiTheme="majorBidi" w:cstheme="majorBidi"/>
          <w:color w:val="000000" w:themeColor="text1"/>
        </w:rPr>
        <w:fldChar w:fldCharType="begin" w:fldLock="1"/>
      </w:r>
      <w:r w:rsidR="00D72114" w:rsidRPr="00E63513">
        <w:rPr>
          <w:rFonts w:asciiTheme="majorBidi" w:hAnsiTheme="majorBidi" w:cstheme="majorBidi"/>
          <w:color w:val="000000" w:themeColor="text1"/>
        </w:rPr>
        <w:instrText>ADDIN CSL_CITATION { "citationItems" : [ { "id" : "ITEM-1", "itemData" : { "author" : [ { "dropping-particle" : "", "family" : "Ongore", "given" : "Vincent Okoth", "non-dropping-particle" : "", "parse-names" : false, "suffix" : "" }, { "dropping-particle" : "", "family" : "Kusa", "given" : "Gemechu Berhanu", "non-dropping-particle" : "", "parse-names" : false, "suffix" : "" } ], "container-title" : "International Journal of Economics and Financial Issues", "id" : "ITEM-1", "issue" : "1", "issued" : { "date-parts" : [ [ "2013" ] ] }, "page" : "237-252", "title" : "Determinants of financial performance of commercial banks in Kenya.", "type" : "article-journal", "volume" : "3" }, "uris" : [ "http://www.mendeley.com/documents/?uuid=53bb48ef-c3f9-48ce-8732-29cea1aad483" ] } ], "mendeley" : { "formattedCitation" : "(Ongore &amp; Kusa, 2013)", "manualFormatting" : "Ongore and Kusa (2013)", "plainTextFormattedCitation" : "(Ongore &amp; Kusa, 2013)", "previouslyFormattedCitation" : "(Ongore &amp; Kusa, 2013)" }, "properties" : { "noteIndex" : 0 }, "schema" : "https://github.com/citation-style-language/schema/raw/master/csl-citation.json" }</w:instrText>
      </w:r>
      <w:r w:rsidR="00D72114" w:rsidRPr="00E63513">
        <w:rPr>
          <w:rFonts w:asciiTheme="majorBidi" w:hAnsiTheme="majorBidi" w:cstheme="majorBidi"/>
          <w:color w:val="000000" w:themeColor="text1"/>
        </w:rPr>
        <w:fldChar w:fldCharType="separate"/>
      </w:r>
      <w:r w:rsidR="00D72114" w:rsidRPr="00E63513">
        <w:rPr>
          <w:rFonts w:asciiTheme="majorBidi" w:hAnsiTheme="majorBidi" w:cstheme="majorBidi"/>
          <w:noProof/>
          <w:color w:val="000000" w:themeColor="text1"/>
        </w:rPr>
        <w:t>Ongore and Kusa (2013)</w:t>
      </w:r>
      <w:r w:rsidR="00D72114" w:rsidRPr="00E63513">
        <w:rPr>
          <w:rFonts w:asciiTheme="majorBidi" w:hAnsiTheme="majorBidi" w:cstheme="majorBidi"/>
          <w:color w:val="000000" w:themeColor="text1"/>
        </w:rPr>
        <w:fldChar w:fldCharType="end"/>
      </w:r>
      <w:r w:rsidR="00D72114" w:rsidRPr="00E63513">
        <w:rPr>
          <w:rFonts w:asciiTheme="majorBidi" w:hAnsiTheme="majorBidi" w:cstheme="majorBidi"/>
          <w:color w:val="000000" w:themeColor="text1"/>
        </w:rPr>
        <w:t xml:space="preserve"> </w:t>
      </w:r>
      <w:r w:rsidR="005269E1" w:rsidRPr="00E63513">
        <w:rPr>
          <w:rFonts w:asciiTheme="majorBidi" w:hAnsiTheme="majorBidi" w:cstheme="majorBidi"/>
          <w:color w:val="000000" w:themeColor="text1"/>
        </w:rPr>
        <w:t xml:space="preserve">also </w:t>
      </w:r>
      <w:r w:rsidR="00D72114" w:rsidRPr="00E63513">
        <w:rPr>
          <w:rFonts w:asciiTheme="majorBidi" w:hAnsiTheme="majorBidi" w:cstheme="majorBidi"/>
          <w:color w:val="000000" w:themeColor="text1"/>
        </w:rPr>
        <w:t>study</w:t>
      </w:r>
      <w:r w:rsidR="005269E1" w:rsidRPr="00E63513">
        <w:rPr>
          <w:rFonts w:asciiTheme="majorBidi" w:hAnsiTheme="majorBidi" w:cstheme="majorBidi"/>
          <w:color w:val="000000" w:themeColor="text1"/>
        </w:rPr>
        <w:t xml:space="preserve"> the impact of CAMELs models on 37 Kenyan commercial banks ' profitability over the period 2001 to 2010 using multiple regression models. The findings show that capital adequacy, asset quality, and management efficiency are significantly related to ROA, ROE, and NIM, while liquidity management is insignificantly related to all </w:t>
      </w:r>
      <w:r w:rsidR="00651F15" w:rsidRPr="00E63513">
        <w:rPr>
          <w:rFonts w:asciiTheme="majorBidi" w:hAnsiTheme="majorBidi" w:cstheme="majorBidi"/>
          <w:color w:val="000000" w:themeColor="text1"/>
        </w:rPr>
        <w:t xml:space="preserve">profitability </w:t>
      </w:r>
      <w:r w:rsidR="005269E1" w:rsidRPr="00E63513">
        <w:rPr>
          <w:rFonts w:asciiTheme="majorBidi" w:hAnsiTheme="majorBidi" w:cstheme="majorBidi"/>
          <w:color w:val="000000" w:themeColor="text1"/>
        </w:rPr>
        <w:t xml:space="preserve">measures.  </w:t>
      </w:r>
    </w:p>
    <w:p w:rsidR="00610758" w:rsidRPr="00E63513" w:rsidRDefault="00DD144D" w:rsidP="00E174F5">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D72114" w:rsidRPr="00E63513">
        <w:rPr>
          <w:rFonts w:asciiTheme="majorBidi" w:hAnsiTheme="majorBidi" w:cstheme="majorBidi"/>
          <w:color w:val="000000" w:themeColor="text1"/>
        </w:rPr>
        <w:fldChar w:fldCharType="begin" w:fldLock="1"/>
      </w:r>
      <w:r w:rsidR="00D72114" w:rsidRPr="00E63513">
        <w:rPr>
          <w:rFonts w:asciiTheme="majorBidi" w:hAnsiTheme="majorBidi" w:cstheme="majorBidi"/>
          <w:color w:val="000000" w:themeColor="text1"/>
        </w:rPr>
        <w:instrText>ADDIN CSL_CITATION { "citationItems" : [ { "id" : "ITEM-1", "itemData" : { "DOI" : "10.1016/j.sbspro.2013.12.583", "ISSN" : "18770428", "author" : [ { "dropping-particle" : "", "family" : "Shah", "given" : "Syed Qasim", "non-dropping-particle" : "", "parse-names" : false, "suffix" : "" }, { "dropping-particle" : "", "family" : "Jan", "given" : "Rizwan", "non-dropping-particle" : "", "parse-names" : false, "suffix" : "" } ], "container-title" : "Procedia - Social and Behavioral Sciences", "id" : "ITEM-1", "issued" : { "date-parts" : [ [ "2014", "1" ] ] }, "page" : "1021-1025", "publisher" : "Elsevier B.V.", "title" : "Analysis of financial performance of private banks in Pakistan", "type" : "article-journal", "volume" : "109" }, "uris" : [ "http://www.mendeley.com/documents/?uuid=b333e23c-a595-41ac-8818-f37799a28991" ] } ], "mendeley" : { "formattedCitation" : "(Shah &amp; Jan, 2014)", "manualFormatting" : "Shah and Jan (2014)", "plainTextFormattedCitation" : "(Shah &amp; Jan, 2014)", "previouslyFormattedCitation" : "(Shah &amp; Jan, 2014)" }, "properties" : { "noteIndex" : 0 }, "schema" : "https://github.com/citation-style-language/schema/raw/master/csl-citation.json" }</w:instrText>
      </w:r>
      <w:r w:rsidR="00D72114" w:rsidRPr="00E63513">
        <w:rPr>
          <w:rFonts w:asciiTheme="majorBidi" w:hAnsiTheme="majorBidi" w:cstheme="majorBidi"/>
          <w:color w:val="000000" w:themeColor="text1"/>
        </w:rPr>
        <w:fldChar w:fldCharType="separate"/>
      </w:r>
      <w:r w:rsidR="00D72114" w:rsidRPr="00E63513">
        <w:rPr>
          <w:rFonts w:asciiTheme="majorBidi" w:hAnsiTheme="majorBidi" w:cstheme="majorBidi"/>
          <w:noProof/>
          <w:color w:val="000000" w:themeColor="text1"/>
        </w:rPr>
        <w:t>Shah and Jan (2014)</w:t>
      </w:r>
      <w:r w:rsidR="00D72114"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evaluated the financial performance of 10 private commercial banks in Pakistan for the period 2006-2010</w:t>
      </w:r>
      <w:r w:rsidR="006B091A"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using ROA and interest income as a measure of performance. Using OLS regression, the findings show that ROA is negatively related with operational efficiency and bank size. Meanwhile, assets management ratio is positively related with ROA. There is a positive relationship between bank size and interest income, and a negative relationship between asset management and operational efficiency with net interest income.</w:t>
      </w:r>
    </w:p>
    <w:p w:rsidR="003F0B2A" w:rsidRPr="00E63513" w:rsidRDefault="0014378A" w:rsidP="00E174F5">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6B091A" w:rsidRPr="00E63513">
        <w:rPr>
          <w:rFonts w:asciiTheme="majorBidi" w:hAnsiTheme="majorBidi" w:cstheme="majorBidi"/>
          <w:color w:val="000000" w:themeColor="text1"/>
        </w:rPr>
        <w:fldChar w:fldCharType="begin" w:fldLock="1"/>
      </w:r>
      <w:r w:rsidR="006B091A" w:rsidRPr="00E63513">
        <w:rPr>
          <w:rFonts w:asciiTheme="majorBidi" w:hAnsiTheme="majorBidi" w:cstheme="majorBidi"/>
          <w:color w:val="000000" w:themeColor="text1"/>
        </w:rPr>
        <w:instrText>ADDIN CSL_CITATION { "citationItems" : [ { "id" : "ITEM-1", "itemData" : { "author" : [ { "dropping-particle" : "", "family" : "Choong", "given" : "Yap Voon", "non-dropping-particle" : "", "parse-names" : false, "suffix" : "" }, { "dropping-particle" : "", "family" : "Thim", "given" : "Chan Kok", "non-dropping-particle" : "", "parse-names" : false, "suffix" : "" }, { "dropping-particle" : "", "family" : "Kyzy", "given" : "Bernet Talasbek", "non-dropping-particle" : "", "parse-names" : false, "suffix" : "" } ], "container-title" : "Journal of Islamic Economics, Banking and Finance", "id" : "ITEM-1", "issued" : { "date-parts" : [ [ "2012" ] ] }, "page" : "67-80", "title" : "Performance of Islamic commercial banks in Malaysia : An empirical study", "type" : "article-journal", "volume" : "8" }, "uris" : [ "http://www.mendeley.com/documents/?uuid=e8afc9cc-b228-4e7a-aa26-3a79b8a33a04" ] } ], "mendeley" : { "formattedCitation" : "(Choong, Thim, &amp; Kyzy, 2012)", "manualFormatting" : "Choong, Thim, and Kyzy (2012)", "plainTextFormattedCitation" : "(Choong, Thim, &amp; Kyzy, 2012)", "previouslyFormattedCitation" : "(Choong, Thim, &amp; Kyzy, 2012)" }, "properties" : { "noteIndex" : 0 }, "schema" : "https://github.com/citation-style-language/schema/raw/master/csl-citation.json" }</w:instrText>
      </w:r>
      <w:r w:rsidR="006B091A" w:rsidRPr="00E63513">
        <w:rPr>
          <w:rFonts w:asciiTheme="majorBidi" w:hAnsiTheme="majorBidi" w:cstheme="majorBidi"/>
          <w:color w:val="000000" w:themeColor="text1"/>
        </w:rPr>
        <w:fldChar w:fldCharType="separate"/>
      </w:r>
      <w:r w:rsidR="006B091A" w:rsidRPr="00E63513">
        <w:rPr>
          <w:rFonts w:asciiTheme="majorBidi" w:hAnsiTheme="majorBidi" w:cstheme="majorBidi"/>
          <w:noProof/>
          <w:color w:val="000000" w:themeColor="text1"/>
        </w:rPr>
        <w:t>Choong, Thim, and Kyzy (2012)</w:t>
      </w:r>
      <w:r w:rsidR="006B091A" w:rsidRPr="00E63513">
        <w:rPr>
          <w:rFonts w:asciiTheme="majorBidi" w:hAnsiTheme="majorBidi" w:cstheme="majorBidi"/>
          <w:color w:val="000000" w:themeColor="text1"/>
        </w:rPr>
        <w:fldChar w:fldCharType="end"/>
      </w:r>
      <w:r w:rsidR="006B091A"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examined the performance of 11 Malaysian Islamic commercial banks from the period 2006-2009. Their findings show that liquidity influence financial performance of Islamic commercial banks in Malaysia. In addition, the credit risk has a strong positive relationship with ROA and ROE.</w:t>
      </w:r>
      <w:r w:rsidR="003F0B2A" w:rsidRPr="00E63513">
        <w:rPr>
          <w:rFonts w:asciiTheme="majorBidi" w:hAnsiTheme="majorBidi" w:cstheme="majorBidi"/>
          <w:color w:val="000000" w:themeColor="text1"/>
        </w:rPr>
        <w:t xml:space="preserve"> Using ROA and NIM for the period of 1995 to 2010 for 78 commercial banks in Latin America, </w:t>
      </w:r>
      <w:r w:rsidR="006B091A" w:rsidRPr="00E63513">
        <w:rPr>
          <w:rFonts w:asciiTheme="majorBidi" w:hAnsiTheme="majorBidi" w:cstheme="majorBidi"/>
          <w:color w:val="000000" w:themeColor="text1"/>
        </w:rPr>
        <w:fldChar w:fldCharType="begin" w:fldLock="1"/>
      </w:r>
      <w:r w:rsidR="006B091A" w:rsidRPr="00E63513">
        <w:rPr>
          <w:rFonts w:asciiTheme="majorBidi" w:hAnsiTheme="majorBidi" w:cstheme="majorBidi"/>
          <w:color w:val="000000" w:themeColor="text1"/>
        </w:rPr>
        <w:instrText>ADDIN CSL_CITATION { "citationItems" : [ { "id" : "ITEM-1", "itemData" : { "DOI" : "10.1108/ARLA-04-2013-0030", "author" : [ { "dropping-particle" : "", "family" : "Jara-Bertin", "given" : "Mauricio", "non-dropping-particle" : "", "parse-names" : false, "suffix" : "" }, { "dropping-particle" : "", "family" : "Moya", "given" : "Jose Arias", "non-dropping-particle" : "", "parse-names" : false, "suffix" : "" }, { "dropping-particle" : "", "family" : "Perales", "given" : "Arturo Rodr\u0131\u00b4guez", "non-dropping-particle" : "", "parse-names" : false, "suffix" : "" } ], "container-title" : "Academia Revista Latinoamericana de Administraci\u00f3n", "id" : "ITEM-1", "issue" : "2", "issued" : { "date-parts" : [ [ "2014" ] ] }, "page" : "164-182", "title" : "Determinants of bank performance : Evidence for Latin America", "type" : "article-journal", "volume" : "27" }, "uris" : [ "http://www.mendeley.com/documents/?uuid=96d2b08b-906d-4e91-b0d1-142696e7c362" ] } ], "mendeley" : { "formattedCitation" : "(Jara-Bertin, Moya, &amp; Perales, 2014)", "manualFormatting" : "Jara-Bertin, Moya, and Perales (2014)", "plainTextFormattedCitation" : "(Jara-Bertin, Moya, &amp; Perales, 2014)", "previouslyFormattedCitation" : "(Jara-Bertin, Moya, &amp; Perales, 2014)" }, "properties" : { "noteIndex" : 0 }, "schema" : "https://github.com/citation-style-language/schema/raw/master/csl-citation.json" }</w:instrText>
      </w:r>
      <w:r w:rsidR="006B091A" w:rsidRPr="00E63513">
        <w:rPr>
          <w:rFonts w:asciiTheme="majorBidi" w:hAnsiTheme="majorBidi" w:cstheme="majorBidi"/>
          <w:color w:val="000000" w:themeColor="text1"/>
        </w:rPr>
        <w:fldChar w:fldCharType="separate"/>
      </w:r>
      <w:r w:rsidR="006B091A" w:rsidRPr="00E63513">
        <w:rPr>
          <w:rFonts w:asciiTheme="majorBidi" w:hAnsiTheme="majorBidi" w:cstheme="majorBidi"/>
          <w:noProof/>
          <w:color w:val="000000" w:themeColor="text1"/>
        </w:rPr>
        <w:t>Jara-Bertin, Moya, and Perales (2014)</w:t>
      </w:r>
      <w:r w:rsidR="006B091A" w:rsidRPr="00E63513">
        <w:rPr>
          <w:rFonts w:asciiTheme="majorBidi" w:hAnsiTheme="majorBidi" w:cstheme="majorBidi"/>
          <w:color w:val="000000" w:themeColor="text1"/>
        </w:rPr>
        <w:fldChar w:fldCharType="end"/>
      </w:r>
      <w:r w:rsidR="003F0B2A" w:rsidRPr="00E63513">
        <w:rPr>
          <w:rFonts w:asciiTheme="majorBidi" w:hAnsiTheme="majorBidi" w:cstheme="majorBidi"/>
          <w:color w:val="000000" w:themeColor="text1"/>
        </w:rPr>
        <w:t xml:space="preserve">  find that the relationship of bank’ performance is positively significant with specialization degree and size, but the association with credit risk, operational inefficiencies, and liquidity risk is negative.</w:t>
      </w:r>
    </w:p>
    <w:p w:rsidR="00AF2F48" w:rsidRPr="00E63513" w:rsidRDefault="00AF2F48" w:rsidP="00E174F5">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t>In</w:t>
      </w:r>
      <w:r w:rsidR="003E3849" w:rsidRPr="00E63513">
        <w:rPr>
          <w:rFonts w:asciiTheme="majorBidi" w:hAnsiTheme="majorBidi" w:cstheme="majorBidi"/>
          <w:color w:val="000000" w:themeColor="text1"/>
        </w:rPr>
        <w:t xml:space="preserve"> Argentina, </w:t>
      </w:r>
      <w:r w:rsidR="003E3849" w:rsidRPr="00E63513">
        <w:rPr>
          <w:rFonts w:asciiTheme="majorBidi" w:hAnsiTheme="majorBidi" w:cstheme="majorBidi"/>
          <w:color w:val="000000" w:themeColor="text1"/>
        </w:rPr>
        <w:fldChar w:fldCharType="begin" w:fldLock="1"/>
      </w:r>
      <w:r w:rsidR="003E3849" w:rsidRPr="00E63513">
        <w:rPr>
          <w:rFonts w:asciiTheme="majorBidi" w:hAnsiTheme="majorBidi" w:cstheme="majorBidi"/>
          <w:color w:val="000000" w:themeColor="text1"/>
        </w:rPr>
        <w:instrText>ADDIN CSL_CITATION { "citationItems" : [ { "id" : "ITEM-1", "itemData" : { "DOI" : "10.1108/MRR-05-2012-0100", "ISSN" : "2040-8269", "author" : [ { "dropping-particle" : "", "family" : "Doyran", "given" : "Mine Aysen", "non-dropping-particle" : "", "parse-names" : false, "suffix" : "" } ], "container-title" : "Management Research Review", "id" : "ITEM-1", "issue" : "7", "issued" : { "date-parts" : [ [ "2013" ] ] }, "page" : "720-742", "title" : "Net interest margins and firm performance in developing countries: Evidence from Argentine commercial banks", "type" : "article-journal", "volume" : "36" }, "uris" : [ "http://www.mendeley.com/documents/?uuid=df12d94a-755c-4763-a797-4c40a99060b3" ] } ], "mendeley" : { "formattedCitation" : "(Doyran, 2013)", "manualFormatting" : "Doyran (2013)", "plainTextFormattedCitation" : "(Doyran, 2013)", "previouslyFormattedCitation" : "(Doyran, 2013)" }, "properties" : { "noteIndex" : 0 }, "schema" : "https://github.com/citation-style-language/schema/raw/master/csl-citation.json" }</w:instrText>
      </w:r>
      <w:r w:rsidR="003E3849" w:rsidRPr="00E63513">
        <w:rPr>
          <w:rFonts w:asciiTheme="majorBidi" w:hAnsiTheme="majorBidi" w:cstheme="majorBidi"/>
          <w:color w:val="000000" w:themeColor="text1"/>
        </w:rPr>
        <w:fldChar w:fldCharType="separate"/>
      </w:r>
      <w:r w:rsidR="003E3849" w:rsidRPr="00E63513">
        <w:rPr>
          <w:rFonts w:asciiTheme="majorBidi" w:hAnsiTheme="majorBidi" w:cstheme="majorBidi"/>
          <w:noProof/>
          <w:color w:val="000000" w:themeColor="text1"/>
        </w:rPr>
        <w:t>Doyran (2013)</w:t>
      </w:r>
      <w:r w:rsidR="003E3849"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find</w:t>
      </w:r>
      <w:r w:rsidR="003E3849" w:rsidRPr="00E63513">
        <w:rPr>
          <w:rFonts w:asciiTheme="majorBidi" w:hAnsiTheme="majorBidi" w:cstheme="majorBidi"/>
          <w:color w:val="000000" w:themeColor="text1"/>
        </w:rPr>
        <w:t>s</w:t>
      </w:r>
      <w:r w:rsidRPr="00E63513">
        <w:rPr>
          <w:rFonts w:asciiTheme="majorBidi" w:hAnsiTheme="majorBidi" w:cstheme="majorBidi"/>
          <w:color w:val="000000" w:themeColor="text1"/>
        </w:rPr>
        <w:t xml:space="preserve"> that the relationship among operating expenses, liquidity and leverage is positive; the relationship between ROA and debt to total assets ratio is negative; while there is a positive relationship between NIM and operating expenses. </w:t>
      </w:r>
      <w:r w:rsidR="003E3849" w:rsidRPr="00E63513">
        <w:rPr>
          <w:rFonts w:asciiTheme="majorBidi" w:hAnsiTheme="majorBidi" w:cstheme="majorBidi"/>
          <w:color w:val="000000" w:themeColor="text1"/>
        </w:rPr>
        <w:fldChar w:fldCharType="begin" w:fldLock="1"/>
      </w:r>
      <w:r w:rsidR="003E3849" w:rsidRPr="00E63513">
        <w:rPr>
          <w:rFonts w:asciiTheme="majorBidi" w:hAnsiTheme="majorBidi" w:cstheme="majorBidi"/>
          <w:color w:val="000000" w:themeColor="text1"/>
        </w:rPr>
        <w:instrText>ADDIN CSL_CITATION { "citationItems" : [ { "id" : "ITEM-1", "itemData" : { "DOI" : "10.1108/13581981211218342", "ISSN" : "1358-1988", "author" : [ { "dropping-particle" : "", "family" : "Arif", "given" : "Ahmed", "non-dropping-particle" : "", "parse-names" : false, "suffix" : "" }, { "dropping-particle" : "", "family" : "Anees", "given" : "Ahmed Nauman", "non-dropping-particle" : "", "parse-names" : false, "suffix" : "" } ], "container-title" : "Journal of Financial Regulation and Compliance", "id" : "ITEM-1", "issue" : "2", "issued" : { "date-parts" : [ [ "2012" ] ] }, "page" : "182-195", "title" : "Liquidity risk and performance of banking system", "type" : "article-journal", "volume" : "20" }, "uris" : [ "http://www.mendeley.com/documents/?uuid=cbe62116-0b8e-40cd-a6a3-8e74fceeba4d" ] } ], "mendeley" : { "formattedCitation" : "(Arif &amp; Anees, 2012)", "manualFormatting" : "Arif and Anees (2012)", "plainTextFormattedCitation" : "(Arif &amp; Anees, 2012)", "previouslyFormattedCitation" : "(Arif &amp; Anees, 2012)" }, "properties" : { "noteIndex" : 0 }, "schema" : "https://github.com/citation-style-language/schema/raw/master/csl-citation.json" }</w:instrText>
      </w:r>
      <w:r w:rsidR="003E3849" w:rsidRPr="00E63513">
        <w:rPr>
          <w:rFonts w:asciiTheme="majorBidi" w:hAnsiTheme="majorBidi" w:cstheme="majorBidi"/>
          <w:color w:val="000000" w:themeColor="text1"/>
        </w:rPr>
        <w:fldChar w:fldCharType="separate"/>
      </w:r>
      <w:r w:rsidR="003E3849" w:rsidRPr="00E63513">
        <w:rPr>
          <w:rFonts w:asciiTheme="majorBidi" w:hAnsiTheme="majorBidi" w:cstheme="majorBidi"/>
          <w:noProof/>
          <w:color w:val="000000" w:themeColor="text1"/>
        </w:rPr>
        <w:t>Arif and Anees (2012)</w:t>
      </w:r>
      <w:r w:rsidR="003E3849"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find that the relationship between Pakistan banks' profitability and liquidity risk is negative and significant, while the relationship with non-preforming loans and liquidity gap is negative.</w:t>
      </w:r>
    </w:p>
    <w:p w:rsidR="00461B67" w:rsidRPr="00E63513" w:rsidRDefault="009672BB" w:rsidP="00C86682">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461B67" w:rsidRPr="00E63513">
        <w:rPr>
          <w:rFonts w:asciiTheme="majorBidi" w:hAnsiTheme="majorBidi" w:cstheme="majorBidi"/>
          <w:color w:val="000000" w:themeColor="text1"/>
        </w:rPr>
        <w:fldChar w:fldCharType="begin" w:fldLock="1"/>
      </w:r>
      <w:r w:rsidR="00461B67" w:rsidRPr="00E63513">
        <w:rPr>
          <w:rFonts w:asciiTheme="majorBidi" w:hAnsiTheme="majorBidi" w:cstheme="majorBidi"/>
          <w:color w:val="000000" w:themeColor="text1"/>
        </w:rPr>
        <w:instrText>ADDIN CSL_CITATION { "citationItems" : [ { "id" : "ITEM-1", "itemData" : { "DOI" : "10.1108/17538391011054354", "author" : [ { "dropping-particle" : "", "family" : "Akhtar", "given" : "Mohammad Hanif", "non-dropping-particle" : "", "parse-names" : false, "suffix" : "" } ], "container-title" : "International Journal of Islamic and Middle Eastern Finance", "id" : "ITEM-1", "issue" : "2", "issued" : { "date-parts" : [ [ "2010" ] ] }, "page" : "95-112", "title" : "Are Saudi banks productive and efficient ?", "type" : "article-journal", "volume" : "3" }, "uris" : [ "http://www.mendeley.com/documents/?uuid=a83d57c0-f143-49c3-90b0-ee2528960568" ] } ], "mendeley" : { "formattedCitation" : "(Akhtar, 2010)", "manualFormatting" : "Akhtar (2010)", "plainTextFormattedCitation" : "(Akhtar, 2010)", "previouslyFormattedCitation" : "(Akhtar, 2010)" }, "properties" : { "noteIndex" : 0 }, "schema" : "https://github.com/citation-style-language/schema/raw/master/csl-citation.json" }</w:instrText>
      </w:r>
      <w:r w:rsidR="00461B67" w:rsidRPr="00E63513">
        <w:rPr>
          <w:rFonts w:asciiTheme="majorBidi" w:hAnsiTheme="majorBidi" w:cstheme="majorBidi"/>
          <w:color w:val="000000" w:themeColor="text1"/>
        </w:rPr>
        <w:fldChar w:fldCharType="separate"/>
      </w:r>
      <w:r w:rsidR="00461B67" w:rsidRPr="00E63513">
        <w:rPr>
          <w:rFonts w:asciiTheme="majorBidi" w:hAnsiTheme="majorBidi" w:cstheme="majorBidi"/>
          <w:noProof/>
          <w:color w:val="000000" w:themeColor="text1"/>
        </w:rPr>
        <w:t>Akhtar (2010)</w:t>
      </w:r>
      <w:r w:rsidR="00461B67" w:rsidRPr="00E63513">
        <w:rPr>
          <w:rFonts w:asciiTheme="majorBidi" w:hAnsiTheme="majorBidi" w:cstheme="majorBidi"/>
          <w:color w:val="000000" w:themeColor="text1"/>
        </w:rPr>
        <w:fldChar w:fldCharType="end"/>
      </w:r>
      <w:r w:rsidR="00461B67" w:rsidRPr="00E63513">
        <w:rPr>
          <w:rFonts w:asciiTheme="majorBidi" w:hAnsiTheme="majorBidi" w:cstheme="majorBidi"/>
          <w:color w:val="000000" w:themeColor="text1"/>
        </w:rPr>
        <w:t xml:space="preserve"> uses interest expenses and non-interest expenses as inputs; and net interest income; non-interest income as outputs to assess the efficiency of 11 domestic banks listed on the stock exchange of Sa</w:t>
      </w:r>
      <w:r w:rsidR="00F117B4" w:rsidRPr="00E63513">
        <w:rPr>
          <w:rFonts w:asciiTheme="majorBidi" w:hAnsiTheme="majorBidi" w:cstheme="majorBidi"/>
          <w:color w:val="000000" w:themeColor="text1"/>
        </w:rPr>
        <w:t>udi Arabia for the period 2000-</w:t>
      </w:r>
      <w:r w:rsidR="00461B67" w:rsidRPr="00E63513">
        <w:rPr>
          <w:rFonts w:asciiTheme="majorBidi" w:hAnsiTheme="majorBidi" w:cstheme="majorBidi"/>
          <w:color w:val="000000" w:themeColor="text1"/>
        </w:rPr>
        <w:t xml:space="preserve">2006 using data envelopment analysis (DEA) </w:t>
      </w:r>
      <w:r w:rsidR="00C86682" w:rsidRPr="00E63513">
        <w:rPr>
          <w:rFonts w:asciiTheme="majorBidi" w:hAnsiTheme="majorBidi" w:cstheme="majorBidi"/>
          <w:color w:val="000000" w:themeColor="text1"/>
        </w:rPr>
        <w:t>M</w:t>
      </w:r>
      <w:r w:rsidR="00461B67" w:rsidRPr="00E63513">
        <w:rPr>
          <w:rFonts w:asciiTheme="majorBidi" w:hAnsiTheme="majorBidi" w:cstheme="majorBidi"/>
          <w:color w:val="000000" w:themeColor="text1"/>
        </w:rPr>
        <w:t xml:space="preserve">almquist productivity </w:t>
      </w:r>
      <w:r w:rsidR="00461B67" w:rsidRPr="00E63513">
        <w:rPr>
          <w:rFonts w:asciiTheme="majorBidi" w:hAnsiTheme="majorBidi" w:cstheme="majorBidi"/>
          <w:color w:val="000000" w:themeColor="text1"/>
        </w:rPr>
        <w:lastRenderedPageBreak/>
        <w:t xml:space="preserve">index (MPI) to examine the change in total productivity. The findings show that there is </w:t>
      </w:r>
      <w:r w:rsidR="003E1BC2" w:rsidRPr="00E63513">
        <w:rPr>
          <w:rFonts w:asciiTheme="majorBidi" w:hAnsiTheme="majorBidi" w:cstheme="majorBidi"/>
          <w:color w:val="000000" w:themeColor="text1"/>
        </w:rPr>
        <w:t xml:space="preserve">an </w:t>
      </w:r>
      <w:r w:rsidR="00461B67" w:rsidRPr="00E63513">
        <w:rPr>
          <w:rFonts w:asciiTheme="majorBidi" w:hAnsiTheme="majorBidi" w:cstheme="majorBidi"/>
          <w:color w:val="000000" w:themeColor="text1"/>
        </w:rPr>
        <w:t xml:space="preserve">improvement in the productivity and gains of productivity resulting from technological development, for the findings on MPI; while the findings for DEA show there are technical inefficiencies. </w:t>
      </w:r>
      <w:r w:rsidR="00461B67" w:rsidRPr="00E63513">
        <w:rPr>
          <w:rFonts w:asciiTheme="majorBidi" w:hAnsiTheme="majorBidi" w:cstheme="majorBidi"/>
          <w:color w:val="000000" w:themeColor="text1"/>
        </w:rPr>
        <w:fldChar w:fldCharType="begin" w:fldLock="1"/>
      </w:r>
      <w:r w:rsidR="00461B67" w:rsidRPr="00E63513">
        <w:rPr>
          <w:rFonts w:asciiTheme="majorBidi" w:hAnsiTheme="majorBidi" w:cstheme="majorBidi"/>
          <w:color w:val="000000" w:themeColor="text1"/>
        </w:rPr>
        <w:instrText>ADDIN CSL_CITATION { "citationItems" : [ { "id" : "ITEM-1", "itemData" : { "author" : [ { "dropping-particle" : "", "family" : "Almumani", "given" : "Mohammad Abdelkarim", "non-dropping-particle" : "", "parse-names" : false, "suffix" : "" } ], "container-title" : "International Journal of Academic Research in Accounting, Finance and Management Sciences,", "id" : "ITEM-1", "issue" : "3", "issued" : { "date-parts" : [ [ "2013" ] ] }, "page" : "152-161", "title" : "The Relative Efficiency of Saudi Banks : Data Envelopment Analysis Models", "type" : "article-journal", "volume" : "3" }, "uris" : [ "http://www.mendeley.com/documents/?uuid=41ad57b8-98f4-4976-9469-2c8c48495dc2" ] } ], "mendeley" : { "formattedCitation" : "(Almumani, 2013b)", "manualFormatting" : "Almumani (2013b)", "plainTextFormattedCitation" : "(Almumani, 2013b)", "previouslyFormattedCitation" : "(Almumani, 2013b)" }, "properties" : { "noteIndex" : 0 }, "schema" : "https://github.com/citation-style-language/schema/raw/master/csl-citation.json" }</w:instrText>
      </w:r>
      <w:r w:rsidR="00461B67" w:rsidRPr="00E63513">
        <w:rPr>
          <w:rFonts w:asciiTheme="majorBidi" w:hAnsiTheme="majorBidi" w:cstheme="majorBidi"/>
          <w:color w:val="000000" w:themeColor="text1"/>
        </w:rPr>
        <w:fldChar w:fldCharType="separate"/>
      </w:r>
      <w:r w:rsidR="00461B67" w:rsidRPr="00E63513">
        <w:rPr>
          <w:rFonts w:asciiTheme="majorBidi" w:hAnsiTheme="majorBidi" w:cstheme="majorBidi"/>
          <w:noProof/>
          <w:color w:val="000000" w:themeColor="text1"/>
        </w:rPr>
        <w:t>Almumani (2013b)</w:t>
      </w:r>
      <w:r w:rsidR="00461B67" w:rsidRPr="00E63513">
        <w:rPr>
          <w:rFonts w:asciiTheme="majorBidi" w:hAnsiTheme="majorBidi" w:cstheme="majorBidi"/>
          <w:color w:val="000000" w:themeColor="text1"/>
        </w:rPr>
        <w:fldChar w:fldCharType="end"/>
      </w:r>
      <w:r w:rsidR="00461B67" w:rsidRPr="00E63513">
        <w:rPr>
          <w:rFonts w:asciiTheme="majorBidi" w:hAnsiTheme="majorBidi" w:cstheme="majorBidi"/>
          <w:color w:val="000000" w:themeColor="text1"/>
        </w:rPr>
        <w:t xml:space="preserve">  evaluates the relative efficiency of  10 Saudi domestic banks (nine of them are listed on the Saudi stock exchange, while one is the national commercial bank which is not listed) from 2007-2011 using DEA  and total deposits and total expense as inputs </w:t>
      </w:r>
      <w:r w:rsidR="007D575E" w:rsidRPr="00E63513">
        <w:rPr>
          <w:rFonts w:asciiTheme="majorBidi" w:hAnsiTheme="majorBidi" w:cstheme="majorBidi"/>
          <w:color w:val="000000" w:themeColor="text1"/>
        </w:rPr>
        <w:t>while</w:t>
      </w:r>
      <w:r w:rsidR="00461B67" w:rsidRPr="00E63513">
        <w:rPr>
          <w:rFonts w:asciiTheme="majorBidi" w:hAnsiTheme="majorBidi" w:cstheme="majorBidi"/>
          <w:color w:val="000000" w:themeColor="text1"/>
        </w:rPr>
        <w:t xml:space="preserve"> used  total loans and total investment </w:t>
      </w:r>
      <w:r w:rsidR="007D575E" w:rsidRPr="00E63513">
        <w:rPr>
          <w:rFonts w:asciiTheme="majorBidi" w:hAnsiTheme="majorBidi" w:cstheme="majorBidi"/>
          <w:color w:val="000000" w:themeColor="text1"/>
        </w:rPr>
        <w:t xml:space="preserve">are used </w:t>
      </w:r>
      <w:r w:rsidR="00461B67" w:rsidRPr="00E63513">
        <w:rPr>
          <w:rFonts w:asciiTheme="majorBidi" w:hAnsiTheme="majorBidi" w:cstheme="majorBidi"/>
          <w:color w:val="000000" w:themeColor="text1"/>
        </w:rPr>
        <w:t>as outputs. The findings of the study show that there is efficiency in resources of banks. Furthermore, the efficiency degree of banks is very stable and high</w:t>
      </w:r>
      <w:r w:rsidR="003E1BC2" w:rsidRPr="00E63513">
        <w:rPr>
          <w:rFonts w:asciiTheme="majorBidi" w:hAnsiTheme="majorBidi" w:cstheme="majorBidi"/>
          <w:color w:val="000000" w:themeColor="text1"/>
        </w:rPr>
        <w:t>,</w:t>
      </w:r>
      <w:r w:rsidR="00461B67" w:rsidRPr="00E63513">
        <w:rPr>
          <w:rFonts w:asciiTheme="majorBidi" w:hAnsiTheme="majorBidi" w:cstheme="majorBidi"/>
          <w:color w:val="000000" w:themeColor="text1"/>
        </w:rPr>
        <w:t xml:space="preserve"> especially for the smaller banks. In addition, the Saudi Arabian banking sector is less risky due to the higher capital adequacy ratio. </w:t>
      </w:r>
    </w:p>
    <w:p w:rsidR="00461B67" w:rsidRPr="00E63513" w:rsidRDefault="00461B67" w:rsidP="009C63D1">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"DOI" : "10.1108/17538391311310734", "author" : [ { "dropping-particle" : "", "family" : "Abraham", "given" : "Abraham", "non-dropping-particle" : "", "parse-names" : false, "suffix" : "" } ], "container-title" : "International Journal of Islamic and Middle Eastern Finance and Management", "id" : "ITEM-1", "issue" : "1", "issued" : { "date-parts" : [ [ "2013" ] ] }, "page" : "43-50", "title" : "Foreign ownership and bank performance metrics in Saudi Arabia", "type" : "article-journal", "volume" : "6" }, "uris" : [ "http://www.mendeley.com/documents/?uuid=1e8f6009-c235-4992-af53-57ffbd30d269" ] } ], "mendeley" : { "formattedCitation" : "(Abraham, 2013)", "manualFormatting" : "Abraham (2013)", "plainTextFormattedCitation" : "(Abraham, 2013)", "previouslyFormattedCitation" : "(Abraham, 2013)"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Abraham (2013)</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examines the foreign ownership of 10 Saudi Arabia commercial banks listed during 2008 -2009 using ROA, ROE, Tobin's Q, Tire</w:t>
      </w:r>
      <w:r w:rsidR="001F39B0" w:rsidRPr="00E63513">
        <w:rPr>
          <w:rFonts w:asciiTheme="majorBidi" w:hAnsiTheme="majorBidi" w:cstheme="majorBidi"/>
          <w:color w:val="000000" w:themeColor="text1"/>
        </w:rPr>
        <w:t>-</w:t>
      </w:r>
      <w:r w:rsidRPr="00E63513">
        <w:rPr>
          <w:rFonts w:asciiTheme="majorBidi" w:hAnsiTheme="majorBidi" w:cstheme="majorBidi"/>
          <w:color w:val="000000" w:themeColor="text1"/>
        </w:rPr>
        <w:t>1 capital ratio, loan to assets, NIM, profit margin and assets to equity.</w:t>
      </w:r>
      <w:r w:rsidR="009C63D1" w:rsidRPr="00E63513">
        <w:rPr>
          <w:rFonts w:asciiTheme="majorBidi" w:hAnsiTheme="majorBidi" w:cstheme="majorBidi"/>
          <w:color w:val="000000" w:themeColor="text1"/>
        </w:rPr>
        <w:t xml:space="preserve"> </w:t>
      </w:r>
      <w:r w:rsidR="006D4850" w:rsidRPr="00E63513">
        <w:rPr>
          <w:rFonts w:asciiTheme="majorBidi" w:hAnsiTheme="majorBidi" w:cstheme="majorBidi"/>
          <w:color w:val="000000" w:themeColor="text1"/>
        </w:rPr>
        <w:t>Applying traditional parametric tests and non-parametric tests, the results show that foreign banks are more aggressive from where decreased capital adequacy, increased the financial leverage, higher loan to total assets, higher ROE and Tobin's Q</w:t>
      </w:r>
      <w:r w:rsidR="00D52C91"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"author" : [ { "dropping-particle" : "", "family" : "Almumani", "given" : "Mohammad Abdelkarim", "non-dropping-particle" : "", "parse-names" : false, "suffix" : "" } ], "container-title" : "Interdisciplinary Journal of Research in Business", "id" : "ITEM-1", "issue" : "2", "issued" : { "date-parts" : [ [ "2013" ] ] }, "page" : "1-10", "title" : "Liquidity risk management : A comparative study between Saudi and Jordanian banks", "type" : "article-journal", "volume" : "3" }, "uris" : [ "http://www.mendeley.com/documents/?uuid=e81f7832-04e7-48cf-b823-6be0252277f3" ] } ], "mendeley" : { "formattedCitation" : "(Almumani, 2013a)", "manualFormatting" : "Almumani (2013a)", "plainTextFormattedCitation" : "(Almumani, 2013a)", "previouslyFormattedCitation" : "(Almumani, 2013a)"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00F117B4" w:rsidRPr="00E63513">
        <w:rPr>
          <w:rFonts w:asciiTheme="majorBidi" w:hAnsiTheme="majorBidi" w:cstheme="majorBidi"/>
          <w:noProof/>
          <w:color w:val="000000" w:themeColor="text1"/>
        </w:rPr>
        <w:t xml:space="preserve">Almumani </w:t>
      </w:r>
      <w:r w:rsidRPr="00E63513">
        <w:rPr>
          <w:rFonts w:asciiTheme="majorBidi" w:hAnsiTheme="majorBidi" w:cstheme="majorBidi"/>
          <w:noProof/>
          <w:color w:val="000000" w:themeColor="text1"/>
        </w:rPr>
        <w:t>(2013a)</w:t>
      </w:r>
      <w:r w:rsidRPr="00E63513">
        <w:rPr>
          <w:rFonts w:asciiTheme="majorBidi" w:hAnsiTheme="majorBidi" w:cstheme="majorBidi"/>
          <w:color w:val="000000" w:themeColor="text1"/>
        </w:rPr>
        <w:fldChar w:fldCharType="end"/>
      </w:r>
      <w:r w:rsidR="00F117B4"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 xml:space="preserve">estimates the liquidity risk management of 10 Saudi and 14 Jordanian banks from 2007-2011 using bank size, investment to asset ratio, capital to assets ratio, debt to equity ratio and loan to deposit ratio, ROA and ROE as independent variables. The findings show that liquidity position of Jordanian banks is higher than that of Saudi banks; this aided the banks in Jordan to pay off their debts and expose them to more risk in profits. Saudi banks have better ROE and ROA than Jordanian banks, indicating more profit is being generated by Saudi banks through the efficient and effective use of its resources. </w:t>
      </w:r>
    </w:p>
    <w:p w:rsidR="009672BB" w:rsidRPr="00E63513" w:rsidRDefault="00461B67" w:rsidP="00CB2A4F">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Pr="00E63513">
        <w:rPr>
          <w:rFonts w:asciiTheme="majorBidi" w:hAnsiTheme="majorBidi" w:cstheme="majorBidi"/>
          <w:color w:val="000000" w:themeColor="text1"/>
        </w:rPr>
        <w:fldChar w:fldCharType="begin" w:fldLock="1"/>
      </w:r>
      <w:r w:rsidR="00372D9D" w:rsidRPr="00E63513">
        <w:rPr>
          <w:rFonts w:asciiTheme="majorBidi" w:hAnsiTheme="majorBidi" w:cstheme="majorBidi"/>
          <w:color w:val="000000" w:themeColor="text1"/>
        </w:rPr>
        <w:instrText>ADDIN CSL_CITATION { "citationItems" : [ { "id" : "ITEM-1", "itemData" : { "DOI" : "10.6007/IJARAFMS/v3-i4/21", "author" : [ { "dropping-particle" : "", "family" : "Almazari", "given" : "Ahmad Arif", "non-dropping-particle" : "", "parse-names" : false, "suffix" : "" } ], "container-title" : "International Journal of Academic Research in Accounting, Finance and Management Sciences", "id" : "ITEM-1", "issue" : "4", "issued" : { "date-parts" : [ [ "2013" ] ] }, "page" : "284-293", "title" : "Capital adequacy, cost income ratio and the performance of Saudi banks (2007-2011)", "type" : "article-journal", "volume" : "3" }, "uris" : [ "http://www.mendeley.com/documents/?uuid=b7714760-36e0-44e2-b359-f6cd52105d03" ] } ], "mendeley" : { "formattedCitation" : "(Almazari, 2013)", "manualFormatting" : "Almazari (2013)", "plainTextFormattedCitation" : "(Almazari, 2013)", "previouslyFormattedCitation" : "(Almazari, 2013)"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Almazari (2013)</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assesses the cost income ratio, capital adequacy and performance of banks in Saudi Arabia for the period 2007-2011 using ROA and ROE as dependent variables; and total equity capital to </w:t>
      </w:r>
      <w:r w:rsidR="00BE285B" w:rsidRPr="00E63513">
        <w:rPr>
          <w:rFonts w:asciiTheme="majorBidi" w:hAnsiTheme="majorBidi" w:cstheme="majorBidi"/>
          <w:color w:val="000000" w:themeColor="text1"/>
        </w:rPr>
        <w:t xml:space="preserve">total assets </w:t>
      </w:r>
      <w:r w:rsidRPr="00E63513">
        <w:rPr>
          <w:rFonts w:asciiTheme="majorBidi" w:hAnsiTheme="majorBidi" w:cstheme="majorBidi"/>
          <w:color w:val="000000" w:themeColor="text1"/>
        </w:rPr>
        <w:t xml:space="preserve">ratio, the cost to income ratio and bank size as core independent variables. The findings show that ROE and ROA are negatively associated with capital </w:t>
      </w:r>
      <w:r w:rsidR="00BE285B" w:rsidRPr="00E63513">
        <w:rPr>
          <w:rFonts w:asciiTheme="majorBidi" w:hAnsiTheme="majorBidi" w:cstheme="majorBidi"/>
          <w:color w:val="000000" w:themeColor="text1"/>
        </w:rPr>
        <w:t>ratio</w:t>
      </w:r>
      <w:r w:rsidRPr="00E63513">
        <w:rPr>
          <w:rFonts w:asciiTheme="majorBidi" w:hAnsiTheme="majorBidi" w:cstheme="majorBidi"/>
          <w:color w:val="000000" w:themeColor="text1"/>
        </w:rPr>
        <w:t>; efficiency</w:t>
      </w:r>
      <w:r w:rsidR="00140997"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 xml:space="preserve">of Saudi Arabian banks is negatively associated with </w:t>
      </w:r>
      <w:r w:rsidR="00BE285B" w:rsidRPr="00E63513">
        <w:rPr>
          <w:rFonts w:asciiTheme="majorBidi" w:hAnsiTheme="majorBidi" w:cstheme="majorBidi"/>
          <w:color w:val="000000" w:themeColor="text1"/>
        </w:rPr>
        <w:t>their</w:t>
      </w:r>
      <w:r w:rsidRPr="00E63513">
        <w:rPr>
          <w:rFonts w:asciiTheme="majorBidi" w:hAnsiTheme="majorBidi" w:cstheme="majorBidi"/>
          <w:color w:val="000000" w:themeColor="text1"/>
        </w:rPr>
        <w:t xml:space="preserve"> profitability.</w:t>
      </w:r>
      <w:r w:rsidR="00247E10"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 xml:space="preserve">Finally, </w:t>
      </w:r>
      <w:r w:rsidR="00D01276" w:rsidRPr="00E63513">
        <w:rPr>
          <w:rFonts w:asciiTheme="majorBidi" w:hAnsiTheme="majorBidi" w:cstheme="majorBidi"/>
          <w:color w:val="000000" w:themeColor="text1"/>
        </w:rPr>
        <w:fldChar w:fldCharType="begin" w:fldLock="1"/>
      </w:r>
      <w:r w:rsidR="00D01276" w:rsidRPr="00E63513">
        <w:rPr>
          <w:rFonts w:asciiTheme="majorBidi" w:hAnsiTheme="majorBidi" w:cstheme="majorBidi"/>
          <w:color w:val="000000" w:themeColor="text1"/>
        </w:rPr>
        <w:instrText>ADDIN CSL_CITATION { "citationItems" : [ { "id" : "ITEM-1", "itemData" : { "DOI" : "10.1108/02652329410063223", "ISBN" : "0265232941006", "author" : [ { "dropping-particle" : "", "family" : "Almumani", "given" : "Mohammad Abdelkarim", "non-dropping-particle" : "", "parse-names" : false, "suffix" : "" } ], "container-title" : "Asian Journal of Research in Banking &amp; Finance", "id" : "ITEM-1", "issue" : "2", "issued" : { "date-parts" : [ [ "2014" ] ] }, "page" : "18-20", "title" : "A comparison of financial performance of Saudi banks", "type" : "article-journal", "volume" : "4" }, "uris" : [ "http://www.mendeley.com/documents/?uuid=abfe27ae-fbe2-467b-9c78-5bb48ab62e71" ] } ], "mendeley" : { "formattedCitation" : "(Almumani, 2014)", "manualFormatting" : "Almumani (2014)", "plainTextFormattedCitation" : "(Almumani, 2014)", "previouslyFormattedCitation" : "(Almumani, 2014)" }, "properties" : { "noteIndex" : 0 }, "schema" : "https://github.com/citation-style-language/schema/raw/master/csl-citation.json" }</w:instrText>
      </w:r>
      <w:r w:rsidR="00D01276" w:rsidRPr="00E63513">
        <w:rPr>
          <w:rFonts w:asciiTheme="majorBidi" w:hAnsiTheme="majorBidi" w:cstheme="majorBidi"/>
          <w:color w:val="000000" w:themeColor="text1"/>
        </w:rPr>
        <w:fldChar w:fldCharType="separate"/>
      </w:r>
      <w:r w:rsidR="00D01276" w:rsidRPr="00E63513">
        <w:rPr>
          <w:rFonts w:asciiTheme="majorBidi" w:hAnsiTheme="majorBidi" w:cstheme="majorBidi"/>
          <w:noProof/>
          <w:color w:val="000000" w:themeColor="text1"/>
        </w:rPr>
        <w:t>Almumani (2014)</w:t>
      </w:r>
      <w:r w:rsidR="00D01276" w:rsidRPr="00E63513">
        <w:rPr>
          <w:rFonts w:asciiTheme="majorBidi" w:hAnsiTheme="majorBidi" w:cstheme="majorBidi"/>
          <w:color w:val="000000" w:themeColor="text1"/>
        </w:rPr>
        <w:fldChar w:fldCharType="end"/>
      </w:r>
      <w:r w:rsidR="00D01276" w:rsidRPr="00E63513">
        <w:rPr>
          <w:rFonts w:asciiTheme="majorBidi" w:hAnsiTheme="majorBidi" w:cstheme="majorBidi"/>
          <w:color w:val="000000" w:themeColor="text1"/>
        </w:rPr>
        <w:t xml:space="preserve"> </w:t>
      </w:r>
      <w:r w:rsidR="00140997" w:rsidRPr="00E63513">
        <w:rPr>
          <w:rFonts w:asciiTheme="majorBidi" w:hAnsiTheme="majorBidi" w:cstheme="majorBidi"/>
          <w:color w:val="000000" w:themeColor="text1"/>
        </w:rPr>
        <w:t>studies</w:t>
      </w:r>
      <w:r w:rsidR="009672BB" w:rsidRPr="00E63513">
        <w:rPr>
          <w:rFonts w:asciiTheme="majorBidi" w:hAnsiTheme="majorBidi" w:cstheme="majorBidi"/>
          <w:color w:val="000000" w:themeColor="text1"/>
        </w:rPr>
        <w:t xml:space="preserve"> the financial performance of Saudi commercial banks listed on Saudi s</w:t>
      </w:r>
      <w:r w:rsidR="00D01276" w:rsidRPr="00E63513">
        <w:rPr>
          <w:rFonts w:asciiTheme="majorBidi" w:hAnsiTheme="majorBidi" w:cstheme="majorBidi"/>
          <w:color w:val="000000" w:themeColor="text1"/>
        </w:rPr>
        <w:t>tock exch</w:t>
      </w:r>
      <w:r w:rsidR="003E1BC2" w:rsidRPr="00E63513">
        <w:rPr>
          <w:rFonts w:asciiTheme="majorBidi" w:hAnsiTheme="majorBidi" w:cstheme="majorBidi"/>
          <w:color w:val="000000" w:themeColor="text1"/>
        </w:rPr>
        <w:t xml:space="preserve">ange during 2007-2011. </w:t>
      </w:r>
      <w:r w:rsidR="009672BB" w:rsidRPr="00E63513">
        <w:rPr>
          <w:rFonts w:asciiTheme="majorBidi" w:hAnsiTheme="majorBidi" w:cstheme="majorBidi"/>
          <w:color w:val="000000" w:themeColor="text1"/>
        </w:rPr>
        <w:t xml:space="preserve">Using the </w:t>
      </w:r>
      <w:r w:rsidR="00BE285B" w:rsidRPr="00E63513">
        <w:rPr>
          <w:rFonts w:asciiTheme="majorBidi" w:hAnsiTheme="majorBidi" w:cstheme="majorBidi"/>
          <w:color w:val="000000" w:themeColor="text1"/>
        </w:rPr>
        <w:t xml:space="preserve">ratio </w:t>
      </w:r>
      <w:r w:rsidR="009672BB" w:rsidRPr="00E63513">
        <w:rPr>
          <w:rFonts w:asciiTheme="majorBidi" w:hAnsiTheme="majorBidi" w:cstheme="majorBidi"/>
          <w:color w:val="000000" w:themeColor="text1"/>
        </w:rPr>
        <w:t>analysis and variables as well as inter company’s analysis and trend analysis, the results show that t</w:t>
      </w:r>
      <w:r w:rsidR="00140997" w:rsidRPr="00E63513">
        <w:rPr>
          <w:rFonts w:asciiTheme="majorBidi" w:hAnsiTheme="majorBidi" w:cstheme="majorBidi"/>
          <w:color w:val="000000" w:themeColor="text1"/>
        </w:rPr>
        <w:t xml:space="preserve">here is a negative relationship </w:t>
      </w:r>
      <w:r w:rsidR="009672BB" w:rsidRPr="00E63513">
        <w:rPr>
          <w:rFonts w:asciiTheme="majorBidi" w:hAnsiTheme="majorBidi" w:cstheme="majorBidi"/>
          <w:color w:val="000000" w:themeColor="text1"/>
        </w:rPr>
        <w:t>between total assets, cost to income ratio and operating expenses with th</w:t>
      </w:r>
      <w:r w:rsidR="00140997" w:rsidRPr="00E63513">
        <w:rPr>
          <w:rFonts w:asciiTheme="majorBidi" w:hAnsiTheme="majorBidi" w:cstheme="majorBidi"/>
          <w:color w:val="000000" w:themeColor="text1"/>
        </w:rPr>
        <w:t xml:space="preserve">e profitability of Saudi banks. </w:t>
      </w:r>
      <w:r w:rsidR="009672BB" w:rsidRPr="00E63513">
        <w:rPr>
          <w:rFonts w:asciiTheme="majorBidi" w:hAnsiTheme="majorBidi" w:cstheme="majorBidi"/>
          <w:color w:val="000000" w:themeColor="text1"/>
        </w:rPr>
        <w:t xml:space="preserve">The relationship between operating income and profitability is positive. In addition, Saudi joint banks are more able to make the profits, are dominant in ROE and absorb loan losses; however non-joint Saudi banks are more dominant in ROA and in absorbing asset losses. </w:t>
      </w:r>
    </w:p>
    <w:p w:rsidR="00F315FA" w:rsidRPr="00E63513" w:rsidRDefault="003A40DB" w:rsidP="005F0E3D">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5F0E3D" w:rsidRPr="00E63513">
        <w:rPr>
          <w:rFonts w:asciiTheme="majorBidi" w:hAnsiTheme="majorBidi" w:cstheme="majorBidi"/>
          <w:color w:val="000000" w:themeColor="text1"/>
        </w:rPr>
        <w:t>Previous studies applying data either from emerging or developed economies and have provided mixed results relating the association between profitability and some bank-specific factors</w:t>
      </w:r>
      <w:r w:rsidR="00F77549" w:rsidRPr="00E63513">
        <w:rPr>
          <w:rFonts w:asciiTheme="majorBidi" w:hAnsiTheme="majorBidi" w:cstheme="majorBidi"/>
          <w:color w:val="000000" w:themeColor="text1"/>
        </w:rPr>
        <w:t xml:space="preserve">. Furthermore, banking literature has only focused on the effect of CAMELs </w:t>
      </w:r>
      <w:r w:rsidR="00CB2A4F" w:rsidRPr="00E63513">
        <w:rPr>
          <w:rFonts w:asciiTheme="majorBidi" w:hAnsiTheme="majorBidi" w:cstheme="majorBidi"/>
          <w:color w:val="000000" w:themeColor="text1"/>
        </w:rPr>
        <w:t>factors</w:t>
      </w:r>
      <w:r w:rsidR="00F77549" w:rsidRPr="00E63513">
        <w:rPr>
          <w:rFonts w:asciiTheme="majorBidi" w:hAnsiTheme="majorBidi" w:cstheme="majorBidi"/>
          <w:color w:val="000000" w:themeColor="text1"/>
        </w:rPr>
        <w:t xml:space="preserve"> on bank profitability, while their effect on bank </w:t>
      </w:r>
      <w:r w:rsidR="00CB2A4F" w:rsidRPr="00E63513">
        <w:rPr>
          <w:rFonts w:asciiTheme="majorBidi" w:hAnsiTheme="majorBidi" w:cstheme="majorBidi"/>
          <w:color w:val="000000" w:themeColor="text1"/>
        </w:rPr>
        <w:t>shareholders value</w:t>
      </w:r>
      <w:r w:rsidR="00F77549" w:rsidRPr="00E63513">
        <w:rPr>
          <w:rFonts w:asciiTheme="majorBidi" w:hAnsiTheme="majorBidi" w:cstheme="majorBidi"/>
          <w:color w:val="000000" w:themeColor="text1"/>
        </w:rPr>
        <w:t xml:space="preserve"> has not been examined so far. Previous studies </w:t>
      </w:r>
      <w:r w:rsidR="002F6E45" w:rsidRPr="00E63513">
        <w:rPr>
          <w:rFonts w:asciiTheme="majorBidi" w:hAnsiTheme="majorBidi" w:cstheme="majorBidi"/>
          <w:color w:val="000000" w:themeColor="text1"/>
        </w:rPr>
        <w:t xml:space="preserve">also </w:t>
      </w:r>
      <w:r w:rsidR="00F77549" w:rsidRPr="00E63513">
        <w:rPr>
          <w:rFonts w:asciiTheme="majorBidi" w:hAnsiTheme="majorBidi" w:cstheme="majorBidi"/>
          <w:color w:val="000000" w:themeColor="text1"/>
        </w:rPr>
        <w:t xml:space="preserve">suggest that Tobin's Q is used to estimate the market-based </w:t>
      </w:r>
      <w:r w:rsidR="00CB2A4F" w:rsidRPr="00E63513">
        <w:rPr>
          <w:rFonts w:asciiTheme="majorBidi" w:hAnsiTheme="majorBidi" w:cstheme="majorBidi"/>
          <w:color w:val="000000" w:themeColor="text1"/>
        </w:rPr>
        <w:t>shareholders</w:t>
      </w:r>
      <w:r w:rsidR="003E1BC2" w:rsidRPr="00E63513">
        <w:rPr>
          <w:rFonts w:asciiTheme="majorBidi" w:hAnsiTheme="majorBidi" w:cstheme="majorBidi"/>
          <w:color w:val="000000" w:themeColor="text1"/>
        </w:rPr>
        <w:t>’</w:t>
      </w:r>
      <w:r w:rsidR="00CB2A4F" w:rsidRPr="00E63513">
        <w:rPr>
          <w:rFonts w:asciiTheme="majorBidi" w:hAnsiTheme="majorBidi" w:cstheme="majorBidi"/>
          <w:color w:val="000000" w:themeColor="text1"/>
        </w:rPr>
        <w:t xml:space="preserve"> value</w:t>
      </w:r>
      <w:r w:rsidR="00F77549" w:rsidRPr="00E63513">
        <w:rPr>
          <w:rFonts w:asciiTheme="majorBidi" w:hAnsiTheme="majorBidi" w:cstheme="majorBidi"/>
          <w:color w:val="000000" w:themeColor="text1"/>
        </w:rPr>
        <w:t xml:space="preserve"> rather than stock return for listed banks because it reflects the current discounted value and future likely earnings </w:t>
      </w:r>
      <w:r w:rsidR="00F77549" w:rsidRPr="00E63513">
        <w:rPr>
          <w:rFonts w:asciiTheme="majorBidi" w:hAnsiTheme="majorBidi" w:cstheme="majorBidi"/>
          <w:color w:val="000000" w:themeColor="text1"/>
        </w:rPr>
        <w:fldChar w:fldCharType="begin" w:fldLock="1"/>
      </w:r>
      <w:r w:rsidR="00372D9D" w:rsidRPr="00E63513">
        <w:rPr>
          <w:rFonts w:asciiTheme="majorBidi" w:hAnsiTheme="majorBidi" w:cstheme="majorBidi"/>
          <w:color w:val="000000" w:themeColor="text1"/>
        </w:rPr>
        <w:instrText>ADDIN CSL_CITATION { "citationItems" : [ { "id" : "ITEM-1", "itemData" : { "DOI" : "10.1016/j.jbankfin.2007.12.009", "author" : [ { "dropping-particle" : "De", "family" : "Jonghe", "given" : "Olivier", "non-dropping-particle" : "", "parse-names" : false, "suffix" : "" }, { "dropping-particle" : "Vander", "family" : "Vennet", "given" : "Rudi", "non-dropping-particle" : "", "parse-names" : false, "suffix" : "" } ], "container-title" : "Journal of Banking and Finance", "id" : "ITEM-1", "issue" : "1", "issued" : { "date-parts" : [ [ "2008" ] ] }, "page" : "1829-2835", "title" : "Competition versus efficiency : What drives franchise values in European banking ?", "type" : "article-journal", "volume" : "32" }, "uris" : [ "http://www.mendeley.com/documents/?uuid=ad8481fa-1980-4d66-9fd4-15aaa6ee4603" ] } ], "mendeley" : { "formattedCitation" : "(Jonghe &amp; Vennet, 2008)", "manualFormatting" : "(Jonghe and Vennet, 2008)", "plainTextFormattedCitation" : "(Jonghe &amp; Vennet, 2008)", "previouslyFormattedCitation" : "(Jonghe &amp; Vennet, 2008)" }, "properties" : { "noteIndex" : 0 }, "schema" : "https://github.com/citation-style-language/schema/raw/master/csl-citation.json" }</w:instrText>
      </w:r>
      <w:r w:rsidR="00F77549" w:rsidRPr="00E63513">
        <w:rPr>
          <w:rFonts w:asciiTheme="majorBidi" w:hAnsiTheme="majorBidi" w:cstheme="majorBidi"/>
          <w:color w:val="000000" w:themeColor="text1"/>
        </w:rPr>
        <w:fldChar w:fldCharType="separate"/>
      </w:r>
      <w:r w:rsidR="00F77549" w:rsidRPr="00E63513">
        <w:rPr>
          <w:rFonts w:asciiTheme="majorBidi" w:hAnsiTheme="majorBidi" w:cstheme="majorBidi"/>
          <w:noProof/>
          <w:color w:val="000000" w:themeColor="text1"/>
        </w:rPr>
        <w:t xml:space="preserve">(Jonghe </w:t>
      </w:r>
      <w:r w:rsidR="001153BA" w:rsidRPr="00E63513">
        <w:rPr>
          <w:rFonts w:asciiTheme="majorBidi" w:hAnsiTheme="majorBidi" w:cstheme="majorBidi"/>
          <w:noProof/>
          <w:color w:val="000000" w:themeColor="text1"/>
        </w:rPr>
        <w:t>and</w:t>
      </w:r>
      <w:r w:rsidR="00F77549" w:rsidRPr="00E63513">
        <w:rPr>
          <w:rFonts w:asciiTheme="majorBidi" w:hAnsiTheme="majorBidi" w:cstheme="majorBidi"/>
          <w:noProof/>
          <w:color w:val="000000" w:themeColor="text1"/>
        </w:rPr>
        <w:t xml:space="preserve"> Vennet, 2008)</w:t>
      </w:r>
      <w:r w:rsidR="00F77549" w:rsidRPr="00E63513">
        <w:rPr>
          <w:rFonts w:asciiTheme="majorBidi" w:hAnsiTheme="majorBidi" w:cstheme="majorBidi"/>
          <w:color w:val="000000" w:themeColor="text1"/>
        </w:rPr>
        <w:fldChar w:fldCharType="end"/>
      </w:r>
      <w:r w:rsidR="00F77549" w:rsidRPr="00E63513">
        <w:rPr>
          <w:rFonts w:asciiTheme="majorBidi" w:hAnsiTheme="majorBidi" w:cstheme="majorBidi"/>
          <w:color w:val="000000" w:themeColor="text1"/>
        </w:rPr>
        <w:t>.</w:t>
      </w:r>
    </w:p>
    <w:p w:rsidR="00DD144D" w:rsidRPr="00E63513" w:rsidRDefault="00DD144D" w:rsidP="00E174F5">
      <w:pPr>
        <w:tabs>
          <w:tab w:val="left" w:pos="720"/>
        </w:tabs>
        <w:autoSpaceDE w:val="0"/>
        <w:autoSpaceDN w:val="0"/>
        <w:adjustRightInd w:val="0"/>
        <w:spacing w:after="0" w:line="240" w:lineRule="auto"/>
        <w:jc w:val="both"/>
        <w:rPr>
          <w:rFonts w:asciiTheme="majorBidi" w:hAnsiTheme="majorBidi" w:cstheme="majorBidi"/>
          <w:color w:val="000000" w:themeColor="text1"/>
        </w:rPr>
      </w:pPr>
    </w:p>
    <w:p w:rsidR="002F6E45" w:rsidRPr="00E63513" w:rsidRDefault="002F6E45" w:rsidP="00E174F5">
      <w:pPr>
        <w:spacing w:after="0" w:line="240" w:lineRule="auto"/>
        <w:contextualSpacing/>
        <w:jc w:val="both"/>
        <w:rPr>
          <w:rFonts w:asciiTheme="majorBidi" w:hAnsiTheme="majorBidi" w:cstheme="majorBidi"/>
          <w:b/>
          <w:bCs/>
          <w:color w:val="000000" w:themeColor="text1"/>
        </w:rPr>
      </w:pPr>
    </w:p>
    <w:p w:rsidR="009C63D1" w:rsidRPr="00E63513" w:rsidRDefault="0015540E" w:rsidP="00097D57">
      <w:pPr>
        <w:spacing w:after="0" w:line="240" w:lineRule="auto"/>
        <w:contextualSpacing/>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2.2</w:t>
      </w:r>
      <w:r w:rsidR="00D325A5" w:rsidRPr="00E63513">
        <w:rPr>
          <w:rFonts w:asciiTheme="majorBidi" w:hAnsiTheme="majorBidi" w:cstheme="majorBidi"/>
          <w:b/>
          <w:bCs/>
          <w:color w:val="000000" w:themeColor="text1"/>
        </w:rPr>
        <w:t>.</w:t>
      </w:r>
      <w:r w:rsidRPr="00E63513">
        <w:rPr>
          <w:rFonts w:asciiTheme="majorBidi" w:hAnsiTheme="majorBidi" w:cstheme="majorBidi"/>
          <w:b/>
          <w:bCs/>
          <w:color w:val="000000" w:themeColor="text1"/>
        </w:rPr>
        <w:t xml:space="preserve"> </w:t>
      </w:r>
      <w:r w:rsidR="002B5879" w:rsidRPr="00E63513">
        <w:rPr>
          <w:rFonts w:asciiTheme="majorBidi" w:hAnsiTheme="majorBidi" w:cstheme="majorBidi"/>
          <w:b/>
          <w:bCs/>
          <w:color w:val="000000" w:themeColor="text1"/>
        </w:rPr>
        <w:t xml:space="preserve">Review of Saudi Arabian banking </w:t>
      </w:r>
      <w:r w:rsidR="007902D8" w:rsidRPr="00E63513">
        <w:rPr>
          <w:rFonts w:asciiTheme="majorBidi" w:hAnsiTheme="majorBidi" w:cstheme="majorBidi"/>
          <w:b/>
          <w:bCs/>
          <w:color w:val="000000" w:themeColor="text1"/>
        </w:rPr>
        <w:t>industry</w:t>
      </w:r>
    </w:p>
    <w:p w:rsidR="00097D57" w:rsidRPr="00E63513" w:rsidRDefault="00097D57" w:rsidP="00097D57">
      <w:pPr>
        <w:spacing w:after="0" w:line="240" w:lineRule="auto"/>
        <w:contextualSpacing/>
        <w:jc w:val="both"/>
        <w:rPr>
          <w:rFonts w:asciiTheme="majorBidi" w:hAnsiTheme="majorBidi" w:cstheme="majorBidi"/>
          <w:b/>
          <w:bCs/>
          <w:color w:val="000000" w:themeColor="text1"/>
        </w:rPr>
      </w:pPr>
    </w:p>
    <w:p w:rsidR="002B5879" w:rsidRPr="00E63513" w:rsidRDefault="002F6E45" w:rsidP="009E5DB0">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2B5879" w:rsidRPr="00E63513">
        <w:rPr>
          <w:rFonts w:asciiTheme="majorBidi" w:hAnsiTheme="majorBidi" w:cstheme="majorBidi"/>
          <w:color w:val="000000" w:themeColor="text1"/>
        </w:rPr>
        <w:t>A review of the history of commercial banks development in the Kingdom of Saudi Arabia shows that SAMA through the duties assigned to it and collaboration with banks has worked to build a solid and mo</w:t>
      </w:r>
      <w:r w:rsidR="00B1472C" w:rsidRPr="00E63513">
        <w:rPr>
          <w:rFonts w:asciiTheme="majorBidi" w:hAnsiTheme="majorBidi" w:cstheme="majorBidi"/>
          <w:color w:val="000000" w:themeColor="text1"/>
        </w:rPr>
        <w:t xml:space="preserve">dern banking sector, has been </w:t>
      </w:r>
      <w:r w:rsidR="002B5879" w:rsidRPr="00E63513">
        <w:rPr>
          <w:rFonts w:asciiTheme="majorBidi" w:hAnsiTheme="majorBidi" w:cstheme="majorBidi"/>
          <w:color w:val="000000" w:themeColor="text1"/>
        </w:rPr>
        <w:t xml:space="preserve">able to meet local needs for funding and provision of banking and financial services. </w:t>
      </w:r>
      <w:r w:rsidR="00B1472C" w:rsidRPr="00E63513">
        <w:rPr>
          <w:rFonts w:asciiTheme="majorBidi" w:hAnsiTheme="majorBidi" w:cstheme="majorBidi"/>
          <w:color w:val="000000" w:themeColor="text1"/>
        </w:rPr>
        <w:t>SAMA is guiding banks to provide better banking services across the country.</w:t>
      </w:r>
      <w:r w:rsidR="002B5879" w:rsidRPr="00E63513">
        <w:rPr>
          <w:rFonts w:asciiTheme="majorBidi" w:hAnsiTheme="majorBidi" w:cstheme="majorBidi"/>
          <w:color w:val="000000" w:themeColor="text1"/>
        </w:rPr>
        <w:t xml:space="preserve"> </w:t>
      </w:r>
      <w:r w:rsidR="00B1472C" w:rsidRPr="00E63513">
        <w:rPr>
          <w:rFonts w:asciiTheme="majorBidi" w:hAnsiTheme="majorBidi" w:cstheme="majorBidi"/>
          <w:color w:val="000000" w:themeColor="text1"/>
        </w:rPr>
        <w:t xml:space="preserve">SAMA emphasizes that </w:t>
      </w:r>
      <w:r w:rsidR="002B5879" w:rsidRPr="00E63513">
        <w:rPr>
          <w:rFonts w:asciiTheme="majorBidi" w:hAnsiTheme="majorBidi" w:cstheme="majorBidi"/>
          <w:color w:val="000000" w:themeColor="text1"/>
        </w:rPr>
        <w:t xml:space="preserve">banks work on the principles of sound banking </w:t>
      </w:r>
      <w:r w:rsidR="002D3C0B" w:rsidRPr="00E63513">
        <w:rPr>
          <w:rFonts w:asciiTheme="majorBidi" w:hAnsiTheme="majorBidi" w:cstheme="majorBidi"/>
          <w:color w:val="000000" w:themeColor="text1"/>
        </w:rPr>
        <w:t xml:space="preserve">at par with </w:t>
      </w:r>
      <w:r w:rsidR="002B5879" w:rsidRPr="00E63513">
        <w:rPr>
          <w:rFonts w:asciiTheme="majorBidi" w:hAnsiTheme="majorBidi" w:cstheme="majorBidi"/>
          <w:color w:val="000000" w:themeColor="text1"/>
        </w:rPr>
        <w:t xml:space="preserve">the best international standards and practices. SAMA has been focusing on strengthening the financial structure of the banks and development of internal systems: administrative, accounting and control. SAMA also focuses on human capital development to ensure management and staffs are up-to-date with modern and efficiency banking services and system. </w:t>
      </w:r>
    </w:p>
    <w:p w:rsidR="002B5879" w:rsidRPr="00E63513" w:rsidRDefault="0015540E" w:rsidP="00E805A5">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lastRenderedPageBreak/>
        <w:tab/>
      </w:r>
      <w:r w:rsidR="002B5879" w:rsidRPr="00E63513">
        <w:rPr>
          <w:rFonts w:asciiTheme="majorBidi" w:hAnsiTheme="majorBidi" w:cstheme="majorBidi"/>
          <w:color w:val="000000" w:themeColor="text1"/>
        </w:rPr>
        <w:t xml:space="preserve">The Saudi economy has witnessed a comprehensive growth </w:t>
      </w:r>
      <w:r w:rsidR="00E805A5" w:rsidRPr="00E63513">
        <w:rPr>
          <w:rFonts w:asciiTheme="majorBidi" w:hAnsiTheme="majorBidi" w:cstheme="majorBidi"/>
          <w:color w:val="000000" w:themeColor="text1"/>
        </w:rPr>
        <w:t xml:space="preserve">across </w:t>
      </w:r>
      <w:r w:rsidR="002B5879" w:rsidRPr="00E63513">
        <w:rPr>
          <w:rFonts w:asciiTheme="majorBidi" w:hAnsiTheme="majorBidi" w:cstheme="majorBidi"/>
          <w:color w:val="000000" w:themeColor="text1"/>
        </w:rPr>
        <w:t>various sectors and activities over the past 1</w:t>
      </w:r>
      <w:r w:rsidR="00A40F0E" w:rsidRPr="00E63513">
        <w:rPr>
          <w:rFonts w:asciiTheme="majorBidi" w:hAnsiTheme="majorBidi" w:cstheme="majorBidi"/>
          <w:color w:val="000000" w:themeColor="text1"/>
        </w:rPr>
        <w:t>5</w:t>
      </w:r>
      <w:r w:rsidR="002B5879" w:rsidRPr="00E63513">
        <w:rPr>
          <w:rFonts w:asciiTheme="majorBidi" w:hAnsiTheme="majorBidi" w:cstheme="majorBidi"/>
          <w:color w:val="000000" w:themeColor="text1"/>
        </w:rPr>
        <w:t xml:space="preserve"> years. The annual real growth of GDP averaged at about 5.2 percent; and the contribution of the private non-oil sector was high, rising its GDP at an annual rate of 6.7 percent, it is expected that this pace of growth will continue in future years. However, the contribution of the oil sector is low, increasing its GDP at an average annual growth of 1.5 percent, which is more volatile.  </w:t>
      </w:r>
    </w:p>
    <w:p w:rsidR="002B5879" w:rsidRPr="00E63513" w:rsidRDefault="0015540E" w:rsidP="005310C4">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2B5879" w:rsidRPr="00E63513">
        <w:rPr>
          <w:rFonts w:asciiTheme="majorBidi" w:hAnsiTheme="majorBidi" w:cstheme="majorBidi"/>
          <w:color w:val="000000" w:themeColor="text1"/>
        </w:rPr>
        <w:t>Saudi Arabia ha</w:t>
      </w:r>
      <w:r w:rsidR="00E805A5" w:rsidRPr="00E63513">
        <w:rPr>
          <w:rFonts w:asciiTheme="majorBidi" w:hAnsiTheme="majorBidi" w:cstheme="majorBidi"/>
          <w:color w:val="000000" w:themeColor="text1"/>
        </w:rPr>
        <w:t>d</w:t>
      </w:r>
      <w:r w:rsidR="002B5879" w:rsidRPr="00E63513">
        <w:rPr>
          <w:rFonts w:asciiTheme="majorBidi" w:hAnsiTheme="majorBidi" w:cstheme="majorBidi"/>
          <w:color w:val="000000" w:themeColor="text1"/>
        </w:rPr>
        <w:t xml:space="preserve"> a high liquidity in the banking sector due to the increase in the oil price during 2000 until 201</w:t>
      </w:r>
      <w:r w:rsidR="00A40F0E" w:rsidRPr="00E63513">
        <w:rPr>
          <w:rFonts w:asciiTheme="majorBidi" w:hAnsiTheme="majorBidi" w:cstheme="majorBidi"/>
          <w:color w:val="000000" w:themeColor="text1"/>
        </w:rPr>
        <w:t>4</w:t>
      </w:r>
      <w:r w:rsidR="002B5879" w:rsidRPr="00E63513">
        <w:rPr>
          <w:rFonts w:asciiTheme="majorBidi" w:hAnsiTheme="majorBidi" w:cstheme="majorBidi"/>
          <w:color w:val="000000" w:themeColor="text1"/>
        </w:rPr>
        <w:t>, except</w:t>
      </w:r>
      <w:r w:rsidR="00E805A5" w:rsidRPr="00E63513">
        <w:rPr>
          <w:rFonts w:asciiTheme="majorBidi" w:hAnsiTheme="majorBidi" w:cstheme="majorBidi"/>
          <w:color w:val="000000" w:themeColor="text1"/>
        </w:rPr>
        <w:t>ing</w:t>
      </w:r>
      <w:r w:rsidR="002B5879" w:rsidRPr="00E63513">
        <w:rPr>
          <w:rFonts w:asciiTheme="majorBidi" w:hAnsiTheme="majorBidi" w:cstheme="majorBidi"/>
          <w:color w:val="000000" w:themeColor="text1"/>
        </w:rPr>
        <w:t xml:space="preserve"> the years of 2001, 2002 and 2009, when the GDP growth of the oil sector declined to one percent. Saudi bank deposits represent about 90.5 percent of money supply money supply (M3) at the end of 201</w:t>
      </w:r>
      <w:r w:rsidR="00A40F0E" w:rsidRPr="00E63513">
        <w:rPr>
          <w:rFonts w:asciiTheme="majorBidi" w:hAnsiTheme="majorBidi" w:cstheme="majorBidi"/>
          <w:color w:val="000000" w:themeColor="text1"/>
        </w:rPr>
        <w:t>4</w:t>
      </w:r>
      <w:r w:rsidR="005310C4" w:rsidRPr="00E63513">
        <w:rPr>
          <w:rFonts w:asciiTheme="majorBidi" w:hAnsiTheme="majorBidi" w:cstheme="majorBidi"/>
          <w:color w:val="000000" w:themeColor="text1"/>
        </w:rPr>
        <w:t xml:space="preserve"> (SAMA Report, 2013). </w:t>
      </w:r>
      <w:r w:rsidR="002B5879" w:rsidRPr="00E63513">
        <w:rPr>
          <w:rFonts w:asciiTheme="majorBidi" w:hAnsiTheme="majorBidi" w:cstheme="majorBidi"/>
          <w:color w:val="000000" w:themeColor="text1"/>
        </w:rPr>
        <w:t>Non-interest expenses to income ratio increased from 25 percent in 2000 to 47 percent in 201</w:t>
      </w:r>
      <w:r w:rsidR="00A40F0E" w:rsidRPr="00E63513">
        <w:rPr>
          <w:rFonts w:asciiTheme="majorBidi" w:hAnsiTheme="majorBidi" w:cstheme="majorBidi"/>
          <w:color w:val="000000" w:themeColor="text1"/>
        </w:rPr>
        <w:t>4</w:t>
      </w:r>
      <w:r w:rsidR="002B5879" w:rsidRPr="00E63513">
        <w:rPr>
          <w:rFonts w:asciiTheme="majorBidi" w:hAnsiTheme="majorBidi" w:cstheme="majorBidi"/>
          <w:color w:val="000000" w:themeColor="text1"/>
        </w:rPr>
        <w:t xml:space="preserve">, </w:t>
      </w:r>
      <w:r w:rsidR="002B0370" w:rsidRPr="00E63513">
        <w:rPr>
          <w:rFonts w:asciiTheme="majorBidi" w:hAnsiTheme="majorBidi" w:cstheme="majorBidi"/>
          <w:bCs/>
          <w:color w:val="000000" w:themeColor="text1"/>
        </w:rPr>
        <w:t>suggesting that banks with a higher percentage of non-interest expenses to income means banks have become less and less cost efficient</w:t>
      </w:r>
      <w:r w:rsidR="002B5879" w:rsidRPr="00E63513">
        <w:rPr>
          <w:rFonts w:asciiTheme="majorBidi" w:hAnsiTheme="majorBidi" w:cstheme="majorBidi"/>
          <w:bCs/>
          <w:color w:val="000000" w:themeColor="text1"/>
        </w:rPr>
        <w:t>.</w:t>
      </w:r>
      <w:r w:rsidR="002B5879" w:rsidRPr="00E63513">
        <w:rPr>
          <w:rFonts w:asciiTheme="majorBidi" w:hAnsiTheme="majorBidi" w:cstheme="majorBidi"/>
          <w:color w:val="000000" w:themeColor="text1"/>
        </w:rPr>
        <w:t xml:space="preserve"> Total commercial bank assets as </w:t>
      </w:r>
      <w:r w:rsidR="009E5DB0" w:rsidRPr="00E63513">
        <w:rPr>
          <w:rFonts w:asciiTheme="majorBidi" w:hAnsiTheme="majorBidi" w:cstheme="majorBidi"/>
          <w:color w:val="000000" w:themeColor="text1"/>
        </w:rPr>
        <w:t xml:space="preserve">a </w:t>
      </w:r>
      <w:r w:rsidR="002B5879" w:rsidRPr="00E63513">
        <w:rPr>
          <w:rFonts w:asciiTheme="majorBidi" w:hAnsiTheme="majorBidi" w:cstheme="majorBidi"/>
          <w:color w:val="000000" w:themeColor="text1"/>
        </w:rPr>
        <w:t>percentage of GDP went up by 77 percent to 149.9 percent in 201</w:t>
      </w:r>
      <w:r w:rsidR="00A40F0E" w:rsidRPr="00E63513">
        <w:rPr>
          <w:rFonts w:asciiTheme="majorBidi" w:hAnsiTheme="majorBidi" w:cstheme="majorBidi"/>
          <w:color w:val="000000" w:themeColor="text1"/>
        </w:rPr>
        <w:t>4</w:t>
      </w:r>
      <w:r w:rsidR="002B5879" w:rsidRPr="00E63513">
        <w:rPr>
          <w:rFonts w:asciiTheme="majorBidi" w:hAnsiTheme="majorBidi" w:cstheme="majorBidi"/>
          <w:color w:val="000000" w:themeColor="text1"/>
        </w:rPr>
        <w:t xml:space="preserve"> compared to 72.7 percent in 2000. Bank deposits as </w:t>
      </w:r>
      <w:r w:rsidR="009E5DB0" w:rsidRPr="00E63513">
        <w:rPr>
          <w:rFonts w:asciiTheme="majorBidi" w:hAnsiTheme="majorBidi" w:cstheme="majorBidi"/>
          <w:color w:val="000000" w:themeColor="text1"/>
        </w:rPr>
        <w:t xml:space="preserve">a </w:t>
      </w:r>
      <w:r w:rsidR="002B5879" w:rsidRPr="00E63513">
        <w:rPr>
          <w:rFonts w:asciiTheme="majorBidi" w:hAnsiTheme="majorBidi" w:cstheme="majorBidi"/>
          <w:color w:val="000000" w:themeColor="text1"/>
        </w:rPr>
        <w:t xml:space="preserve">percentage of GDP grew from 43 percent to 111 percent during the same period, whereas the total bank' loans as </w:t>
      </w:r>
      <w:r w:rsidR="009E5DB0" w:rsidRPr="00E63513">
        <w:rPr>
          <w:rFonts w:asciiTheme="majorBidi" w:hAnsiTheme="majorBidi" w:cstheme="majorBidi"/>
          <w:color w:val="000000" w:themeColor="text1"/>
        </w:rPr>
        <w:t xml:space="preserve">a </w:t>
      </w:r>
      <w:r w:rsidR="002B5879" w:rsidRPr="00E63513">
        <w:rPr>
          <w:rFonts w:asciiTheme="majorBidi" w:hAnsiTheme="majorBidi" w:cstheme="majorBidi"/>
          <w:color w:val="000000" w:themeColor="text1"/>
        </w:rPr>
        <w:t xml:space="preserve">percentage of GDP rose </w:t>
      </w:r>
      <w:r w:rsidR="009E5DB0" w:rsidRPr="00E63513">
        <w:rPr>
          <w:rFonts w:asciiTheme="majorBidi" w:hAnsiTheme="majorBidi" w:cstheme="majorBidi"/>
          <w:color w:val="000000" w:themeColor="text1"/>
        </w:rPr>
        <w:t>from</w:t>
      </w:r>
      <w:r w:rsidR="002B5879" w:rsidRPr="00E63513">
        <w:rPr>
          <w:rFonts w:asciiTheme="majorBidi" w:hAnsiTheme="majorBidi" w:cstheme="majorBidi"/>
          <w:color w:val="000000" w:themeColor="text1"/>
        </w:rPr>
        <w:t xml:space="preserve"> 61.4 percent to 89 percent in 201</w:t>
      </w:r>
      <w:r w:rsidR="00A40F0E" w:rsidRPr="00E63513">
        <w:rPr>
          <w:rFonts w:asciiTheme="majorBidi" w:hAnsiTheme="majorBidi" w:cstheme="majorBidi"/>
          <w:color w:val="000000" w:themeColor="text1"/>
        </w:rPr>
        <w:t>4</w:t>
      </w:r>
      <w:r w:rsidR="002B5879" w:rsidRPr="00E63513">
        <w:rPr>
          <w:rFonts w:asciiTheme="majorBidi" w:hAnsiTheme="majorBidi" w:cstheme="majorBidi"/>
          <w:color w:val="000000" w:themeColor="text1"/>
        </w:rPr>
        <w:t xml:space="preserve"> compared to 27.6 in 2000. </w:t>
      </w:r>
    </w:p>
    <w:p w:rsidR="00097D57" w:rsidRPr="00E63513" w:rsidRDefault="0015540E" w:rsidP="00097D57">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r>
      <w:r w:rsidR="00097D57" w:rsidRPr="00E63513">
        <w:rPr>
          <w:rFonts w:asciiTheme="majorBidi" w:hAnsiTheme="majorBidi" w:cstheme="majorBidi"/>
          <w:color w:val="000000" w:themeColor="text1"/>
        </w:rPr>
        <w:t>Banking intermediation is still the preferred option in the Kingdom of Saudi Arabia</w:t>
      </w:r>
      <w:r w:rsidR="002A5B57" w:rsidRPr="00E63513">
        <w:rPr>
          <w:rFonts w:asciiTheme="majorBidi" w:hAnsiTheme="majorBidi" w:cstheme="majorBidi"/>
          <w:color w:val="000000" w:themeColor="text1"/>
        </w:rPr>
        <w:t xml:space="preserve">, as in most emerging markets. </w:t>
      </w:r>
      <w:r w:rsidR="00097D57" w:rsidRPr="00E63513">
        <w:rPr>
          <w:rFonts w:asciiTheme="majorBidi" w:hAnsiTheme="majorBidi" w:cstheme="majorBidi"/>
          <w:color w:val="000000" w:themeColor="text1"/>
        </w:rPr>
        <w:t xml:space="preserve">Bank credit ratio to GDP went up by 61 percent in 2013 compared to 2000. </w:t>
      </w:r>
      <w:r w:rsidR="00097D57" w:rsidRPr="00E63513">
        <w:rPr>
          <w:rFonts w:asciiTheme="majorBidi" w:hAnsiTheme="majorBidi" w:cstheme="majorBidi"/>
          <w:bCs/>
          <w:color w:val="000000" w:themeColor="text1"/>
        </w:rPr>
        <w:t xml:space="preserve">The banking system’s performance has strengthened over the years with proactive monitoring and guidance from SAMA. </w:t>
      </w:r>
      <w:r w:rsidR="00097D57" w:rsidRPr="00E63513">
        <w:rPr>
          <w:rFonts w:asciiTheme="majorBidi" w:hAnsiTheme="majorBidi" w:cstheme="majorBidi"/>
          <w:color w:val="000000" w:themeColor="text1"/>
        </w:rPr>
        <w:t xml:space="preserve">The banks have average Basel Capital Adequacy Ratios of over 16 percent during the period of analysis of this study which is well above the mandated international standard of eight percent. This is the result of appropriate prudential regulations and close supervision of banks by SAMA (Table 1) and banks assigning high priority to achieve the capital standards.  </w:t>
      </w:r>
    </w:p>
    <w:p w:rsidR="00097D57" w:rsidRPr="00E63513" w:rsidRDefault="00097D57" w:rsidP="00097D57">
      <w:pPr>
        <w:tabs>
          <w:tab w:val="left" w:pos="720"/>
        </w:tabs>
        <w:autoSpaceDE w:val="0"/>
        <w:autoSpaceDN w:val="0"/>
        <w:adjustRightInd w:val="0"/>
        <w:spacing w:after="0" w:line="240" w:lineRule="auto"/>
        <w:jc w:val="both"/>
        <w:rPr>
          <w:rFonts w:asciiTheme="majorBidi" w:hAnsiTheme="majorBidi" w:cstheme="majorBidi"/>
          <w:color w:val="000000" w:themeColor="text1"/>
        </w:rPr>
      </w:pPr>
      <w:r w:rsidRPr="00E63513">
        <w:rPr>
          <w:rFonts w:asciiTheme="majorBidi" w:hAnsiTheme="majorBidi" w:cstheme="majorBidi"/>
          <w:color w:val="000000" w:themeColor="text1"/>
        </w:rPr>
        <w:tab/>
        <w:t>The IMF noted that the Kingdom was among the first countries to implement Basel III capital standards, and opined that Saudi banks would face no difficulties in meeting capital, liquidity and leverage ratios set out by the Basel committee. Saudi banks continue to enjoy strong asset quality metrics. The non-performing loans to total gross loans ratio reached a post-global crisis low of 1.3 percent at the end of December 2014, depicting a steady yearly decline over the past few years (1.9 percent at the end of 2013 and 3.3 at the end of 2009). NPLs remain comfortably covered, with the provisions to NPLs ratio at 157.4 percent at the end of 2014 (145.1 percent at the end of 2013) as per the IMF. Those ratios are likely to remain favorable overall amidst positive macroeconomic conditions, ameliorating underwriting standards and government related project lending, as banks seize the opportunity to act as a partner to the real sector in the development of the domestic economy in the period ahead.</w:t>
      </w:r>
    </w:p>
    <w:p w:rsidR="001F567F" w:rsidRPr="00E63513" w:rsidRDefault="001F567F" w:rsidP="00305418">
      <w:pPr>
        <w:tabs>
          <w:tab w:val="left" w:pos="720"/>
        </w:tabs>
        <w:autoSpaceDE w:val="0"/>
        <w:autoSpaceDN w:val="0"/>
        <w:adjustRightInd w:val="0"/>
        <w:spacing w:after="0" w:line="240" w:lineRule="auto"/>
        <w:jc w:val="both"/>
        <w:rPr>
          <w:rFonts w:asciiTheme="majorBidi" w:hAnsiTheme="majorBidi" w:cstheme="majorBidi"/>
          <w:color w:val="000000" w:themeColor="text1"/>
          <w:sz w:val="10"/>
          <w:szCs w:val="10"/>
        </w:rPr>
      </w:pPr>
    </w:p>
    <w:tbl>
      <w:tblPr>
        <w:tblW w:w="10065" w:type="dxa"/>
        <w:tblLook w:val="04A0" w:firstRow="1" w:lastRow="0" w:firstColumn="1" w:lastColumn="0" w:noHBand="0" w:noVBand="1"/>
      </w:tblPr>
      <w:tblGrid>
        <w:gridCol w:w="716"/>
        <w:gridCol w:w="810"/>
        <w:gridCol w:w="794"/>
        <w:gridCol w:w="1007"/>
        <w:gridCol w:w="872"/>
        <w:gridCol w:w="616"/>
        <w:gridCol w:w="680"/>
        <w:gridCol w:w="1559"/>
        <w:gridCol w:w="256"/>
        <w:gridCol w:w="169"/>
        <w:gridCol w:w="67"/>
        <w:gridCol w:w="633"/>
        <w:gridCol w:w="894"/>
        <w:gridCol w:w="992"/>
      </w:tblGrid>
      <w:tr w:rsidR="00E63513" w:rsidRPr="00E63513" w:rsidTr="008A0C15">
        <w:trPr>
          <w:trHeight w:val="300"/>
        </w:trPr>
        <w:tc>
          <w:tcPr>
            <w:tcW w:w="10065" w:type="dxa"/>
            <w:gridSpan w:val="14"/>
            <w:tcBorders>
              <w:bottom w:val="single" w:sz="4" w:space="0" w:color="auto"/>
            </w:tcBorders>
            <w:shd w:val="clear" w:color="auto" w:fill="auto"/>
            <w:noWrap/>
            <w:vAlign w:val="bottom"/>
          </w:tcPr>
          <w:p w:rsidR="00107FD0" w:rsidRPr="00E63513" w:rsidRDefault="00107FD0" w:rsidP="00E174F5">
            <w:pPr>
              <w:spacing w:after="0" w:line="240" w:lineRule="auto"/>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Table 1</w:t>
            </w:r>
            <w:r w:rsidR="0068155F" w:rsidRPr="00E63513">
              <w:rPr>
                <w:rFonts w:asciiTheme="majorBidi" w:eastAsia="Times New Roman" w:hAnsiTheme="majorBidi" w:cstheme="majorBidi"/>
                <w:b/>
                <w:bCs/>
                <w:color w:val="000000" w:themeColor="text1"/>
                <w:sz w:val="20"/>
                <w:szCs w:val="20"/>
              </w:rPr>
              <w:t xml:space="preserve">: </w:t>
            </w:r>
            <w:r w:rsidRPr="00E63513">
              <w:rPr>
                <w:rFonts w:asciiTheme="majorBidi" w:eastAsia="Times New Roman" w:hAnsiTheme="majorBidi" w:cstheme="majorBidi"/>
                <w:b/>
                <w:bCs/>
                <w:color w:val="000000" w:themeColor="text1"/>
                <w:sz w:val="20"/>
                <w:szCs w:val="20"/>
              </w:rPr>
              <w:t>Saudi bank</w:t>
            </w:r>
            <w:r w:rsidR="00A9338D" w:rsidRPr="00E63513">
              <w:rPr>
                <w:rFonts w:asciiTheme="majorBidi" w:eastAsia="Times New Roman" w:hAnsiTheme="majorBidi" w:cstheme="majorBidi"/>
                <w:b/>
                <w:bCs/>
                <w:color w:val="000000" w:themeColor="text1"/>
                <w:sz w:val="20"/>
                <w:szCs w:val="20"/>
              </w:rPr>
              <w:t>s</w:t>
            </w:r>
            <w:r w:rsidRPr="00E63513">
              <w:rPr>
                <w:rFonts w:asciiTheme="majorBidi" w:eastAsia="Times New Roman" w:hAnsiTheme="majorBidi" w:cstheme="majorBidi"/>
                <w:b/>
                <w:bCs/>
                <w:color w:val="000000" w:themeColor="text1"/>
                <w:sz w:val="20"/>
                <w:szCs w:val="20"/>
              </w:rPr>
              <w:t xml:space="preserve"> performance and economic indicators</w:t>
            </w:r>
          </w:p>
        </w:tc>
      </w:tr>
      <w:tr w:rsidR="00E63513" w:rsidRPr="00E63513" w:rsidTr="00CA71F0">
        <w:trPr>
          <w:trHeight w:val="127"/>
        </w:trPr>
        <w:tc>
          <w:tcPr>
            <w:tcW w:w="716" w:type="dxa"/>
            <w:tcBorders>
              <w:top w:val="single" w:sz="4" w:space="0" w:color="auto"/>
            </w:tcBorders>
            <w:shd w:val="clear" w:color="auto" w:fill="auto"/>
            <w:noWrap/>
            <w:vAlign w:val="bottom"/>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p>
        </w:tc>
        <w:tc>
          <w:tcPr>
            <w:tcW w:w="6594" w:type="dxa"/>
            <w:gridSpan w:val="8"/>
            <w:tcBorders>
              <w:top w:val="single" w:sz="4" w:space="0" w:color="auto"/>
            </w:tcBorders>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 xml:space="preserve">Bank </w:t>
            </w:r>
            <w:r w:rsidR="00475849" w:rsidRPr="00E63513">
              <w:rPr>
                <w:rFonts w:asciiTheme="majorBidi" w:eastAsia="Times New Roman" w:hAnsiTheme="majorBidi" w:cstheme="majorBidi"/>
                <w:b/>
                <w:bCs/>
                <w:color w:val="000000" w:themeColor="text1"/>
                <w:sz w:val="20"/>
                <w:szCs w:val="20"/>
              </w:rPr>
              <w:t>performance indicators</w:t>
            </w:r>
          </w:p>
        </w:tc>
        <w:tc>
          <w:tcPr>
            <w:tcW w:w="236" w:type="dxa"/>
            <w:gridSpan w:val="2"/>
            <w:tcBorders>
              <w:top w:val="single" w:sz="4" w:space="0" w:color="auto"/>
            </w:tcBorders>
            <w:shd w:val="clear" w:color="auto" w:fill="auto"/>
            <w:noWrap/>
            <w:vAlign w:val="bottom"/>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p>
        </w:tc>
        <w:tc>
          <w:tcPr>
            <w:tcW w:w="2519" w:type="dxa"/>
            <w:gridSpan w:val="3"/>
            <w:tcBorders>
              <w:top w:val="single" w:sz="4" w:space="0" w:color="auto"/>
            </w:tcBorders>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 xml:space="preserve">Economic </w:t>
            </w:r>
            <w:r w:rsidR="00475849" w:rsidRPr="00E63513">
              <w:rPr>
                <w:rFonts w:asciiTheme="majorBidi" w:eastAsia="Times New Roman" w:hAnsiTheme="majorBidi" w:cstheme="majorBidi"/>
                <w:b/>
                <w:bCs/>
                <w:color w:val="000000" w:themeColor="text1"/>
                <w:sz w:val="20"/>
                <w:szCs w:val="20"/>
              </w:rPr>
              <w:t>indicators</w:t>
            </w:r>
          </w:p>
        </w:tc>
      </w:tr>
      <w:tr w:rsidR="00E63513" w:rsidRPr="00E63513" w:rsidTr="00CA71F0">
        <w:trPr>
          <w:trHeight w:val="173"/>
        </w:trPr>
        <w:tc>
          <w:tcPr>
            <w:tcW w:w="716" w:type="dxa"/>
            <w:tcBorders>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Year</w:t>
            </w:r>
          </w:p>
        </w:tc>
        <w:tc>
          <w:tcPr>
            <w:tcW w:w="810" w:type="dxa"/>
            <w:tcBorders>
              <w:top w:val="single" w:sz="4" w:space="0" w:color="auto"/>
              <w:bottom w:val="single" w:sz="4" w:space="0" w:color="auto"/>
            </w:tcBorders>
            <w:shd w:val="clear" w:color="auto" w:fill="auto"/>
            <w:noWrap/>
            <w:hideMark/>
          </w:tcPr>
          <w:p w:rsidR="008A0C15" w:rsidRPr="00E63513" w:rsidRDefault="008A0C15" w:rsidP="0017363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Cost </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 ratio%</w:t>
            </w:r>
          </w:p>
        </w:tc>
        <w:tc>
          <w:tcPr>
            <w:tcW w:w="794" w:type="dxa"/>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Assets/ </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GDP) </w:t>
            </w:r>
          </w:p>
        </w:tc>
        <w:tc>
          <w:tcPr>
            <w:tcW w:w="1007" w:type="dxa"/>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Deposits</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GDP</w:t>
            </w:r>
          </w:p>
        </w:tc>
        <w:tc>
          <w:tcPr>
            <w:tcW w:w="872" w:type="dxa"/>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loans</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 GDP </w:t>
            </w:r>
          </w:p>
        </w:tc>
        <w:tc>
          <w:tcPr>
            <w:tcW w:w="616" w:type="dxa"/>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ROE </w:t>
            </w:r>
          </w:p>
        </w:tc>
        <w:tc>
          <w:tcPr>
            <w:tcW w:w="2239" w:type="dxa"/>
            <w:gridSpan w:val="2"/>
            <w:tcBorders>
              <w:top w:val="single" w:sz="4" w:space="0" w:color="auto"/>
              <w:bottom w:val="single" w:sz="4" w:space="0" w:color="auto"/>
            </w:tcBorders>
            <w:shd w:val="clear" w:color="auto" w:fill="auto"/>
            <w:noWrap/>
            <w:hideMark/>
          </w:tcPr>
          <w:p w:rsidR="008A0C15" w:rsidRPr="00E63513" w:rsidRDefault="008A0C15" w:rsidP="008A0C1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Capital Risk-</w:t>
            </w:r>
            <w:r w:rsidR="009D590C" w:rsidRPr="00E63513">
              <w:rPr>
                <w:rFonts w:asciiTheme="majorBidi" w:eastAsia="Times New Roman" w:hAnsiTheme="majorBidi" w:cstheme="majorBidi"/>
                <w:color w:val="000000" w:themeColor="text1"/>
                <w:sz w:val="20"/>
                <w:szCs w:val="20"/>
              </w:rPr>
              <w:t>Weighted Assets</w:t>
            </w:r>
          </w:p>
        </w:tc>
        <w:tc>
          <w:tcPr>
            <w:tcW w:w="425" w:type="dxa"/>
            <w:gridSpan w:val="2"/>
            <w:tcBorders>
              <w:bottom w:val="single" w:sz="4" w:space="0" w:color="auto"/>
            </w:tcBorders>
            <w:shd w:val="clear" w:color="auto" w:fill="auto"/>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p>
        </w:tc>
        <w:tc>
          <w:tcPr>
            <w:tcW w:w="700" w:type="dxa"/>
            <w:gridSpan w:val="2"/>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Real </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GDP </w:t>
            </w:r>
          </w:p>
        </w:tc>
        <w:tc>
          <w:tcPr>
            <w:tcW w:w="894" w:type="dxa"/>
            <w:tcBorders>
              <w:top w:val="single" w:sz="4" w:space="0" w:color="auto"/>
              <w:bottom w:val="single" w:sz="4" w:space="0" w:color="auto"/>
            </w:tcBorders>
            <w:shd w:val="clear" w:color="auto" w:fill="auto"/>
            <w:noWrap/>
            <w:hideMark/>
          </w:tcPr>
          <w:p w:rsidR="008A0C15" w:rsidRPr="00E63513" w:rsidRDefault="008A0C15" w:rsidP="0017363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Real Oil GDP</w:t>
            </w:r>
          </w:p>
        </w:tc>
        <w:tc>
          <w:tcPr>
            <w:tcW w:w="992" w:type="dxa"/>
            <w:tcBorders>
              <w:top w:val="single" w:sz="4" w:space="0" w:color="auto"/>
              <w:bottom w:val="single" w:sz="4" w:space="0" w:color="auto"/>
            </w:tcBorders>
            <w:shd w:val="clear" w:color="auto" w:fill="auto"/>
            <w:noWrap/>
            <w:hideMark/>
          </w:tcPr>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Real non</w:t>
            </w:r>
          </w:p>
          <w:p w:rsidR="008A0C15" w:rsidRPr="00E63513" w:rsidRDefault="008A0C15"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-oil GDP</w:t>
            </w:r>
          </w:p>
        </w:tc>
      </w:tr>
      <w:tr w:rsidR="00E63513" w:rsidRPr="00E63513" w:rsidTr="00CA71F0">
        <w:trPr>
          <w:trHeight w:val="56"/>
        </w:trPr>
        <w:tc>
          <w:tcPr>
            <w:tcW w:w="716" w:type="dxa"/>
            <w:tcBorders>
              <w:top w:val="single" w:sz="4" w:space="0" w:color="auto"/>
            </w:tcBorders>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2000</w:t>
            </w:r>
          </w:p>
        </w:tc>
        <w:tc>
          <w:tcPr>
            <w:tcW w:w="810"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25</w:t>
            </w:r>
          </w:p>
        </w:tc>
        <w:tc>
          <w:tcPr>
            <w:tcW w:w="794"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72.7</w:t>
            </w:r>
          </w:p>
        </w:tc>
        <w:tc>
          <w:tcPr>
            <w:tcW w:w="1007"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43</w:t>
            </w:r>
          </w:p>
        </w:tc>
        <w:tc>
          <w:tcPr>
            <w:tcW w:w="872"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27.8</w:t>
            </w:r>
          </w:p>
        </w:tc>
        <w:tc>
          <w:tcPr>
            <w:tcW w:w="616"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w:t>
            </w:r>
          </w:p>
        </w:tc>
        <w:tc>
          <w:tcPr>
            <w:tcW w:w="680" w:type="dxa"/>
            <w:tcBorders>
              <w:top w:val="single" w:sz="4" w:space="0" w:color="auto"/>
            </w:tcBorders>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tcBorders>
              <w:top w:val="single" w:sz="4" w:space="0" w:color="auto"/>
            </w:tcBorders>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19.9</w:t>
            </w:r>
          </w:p>
        </w:tc>
        <w:tc>
          <w:tcPr>
            <w:tcW w:w="425" w:type="dxa"/>
            <w:gridSpan w:val="2"/>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4.9</w:t>
            </w:r>
          </w:p>
        </w:tc>
        <w:tc>
          <w:tcPr>
            <w:tcW w:w="894"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6.9</w:t>
            </w:r>
          </w:p>
        </w:tc>
        <w:tc>
          <w:tcPr>
            <w:tcW w:w="992" w:type="dxa"/>
            <w:tcBorders>
              <w:top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2001</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25</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75.1</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46.2</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29.8</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18.8</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20.3</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-3.9</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3.5</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2002</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30</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80.7</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53.7</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33.4</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28.8</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21.3</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-7.5</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2003</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80.4</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53.4</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36.4</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20.4</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19.4</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7.7</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17.2</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2004</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88.4</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58.8</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44.8</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23.6</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17.8</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9.3</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3.5</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12.1</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2005</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95.4</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61.5</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56.9</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30.4</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17.8</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7.3</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6.3</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7.7</w:t>
            </w:r>
          </w:p>
        </w:tc>
      </w:tr>
      <w:tr w:rsidR="00E63513" w:rsidRPr="00E63513" w:rsidTr="008A0C15">
        <w:trPr>
          <w:trHeight w:val="65"/>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2006</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43</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102.5</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70.4</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59.2</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32.6</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21.9</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5.6</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8.5</w:t>
            </w:r>
          </w:p>
        </w:tc>
      </w:tr>
      <w:tr w:rsidR="00E63513" w:rsidRPr="00E63513" w:rsidTr="008A0C15">
        <w:trPr>
          <w:trHeight w:val="60"/>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2007</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38.7</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120.8</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80.6</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66.8</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24.9</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-3.8</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w:t>
            </w:r>
          </w:p>
        </w:tc>
      </w:tr>
      <w:tr w:rsidR="00E63513" w:rsidRPr="00E63513" w:rsidTr="008A0C15">
        <w:trPr>
          <w:trHeight w:val="159"/>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2008</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51.1</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135</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87.7</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77.2</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20.7</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8.3</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4.3</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9.8</w:t>
            </w:r>
          </w:p>
        </w:tc>
      </w:tr>
      <w:tr w:rsidR="00E63513" w:rsidRPr="00E63513" w:rsidTr="008A0C15">
        <w:trPr>
          <w:trHeight w:val="60"/>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2009</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55.4</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139.4</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95.7</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75</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1.9</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w:t>
            </w:r>
          </w:p>
        </w:tc>
      </w:tr>
      <w:tr w:rsidR="00E63513" w:rsidRPr="00E63513" w:rsidTr="008A0C15">
        <w:trPr>
          <w:trHeight w:val="111"/>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2010</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55.4</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134</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93.2</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73.4</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16.5</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7.5</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9.6</w:t>
            </w:r>
          </w:p>
        </w:tc>
      </w:tr>
      <w:tr w:rsidR="00E63513" w:rsidRPr="00E63513" w:rsidTr="008A0C15">
        <w:trPr>
          <w:trHeight w:val="73"/>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2011</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52.7</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134.6</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96.2</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74.7</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17.1</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8.6</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w:t>
            </w:r>
          </w:p>
        </w:tc>
      </w:tr>
      <w:tr w:rsidR="00E63513" w:rsidRPr="00E63513" w:rsidTr="00CA71F0">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2012</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46.9</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142.8</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103.8</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82.4</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19.6</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5.8</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5.7</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5.8</w:t>
            </w:r>
          </w:p>
        </w:tc>
      </w:tr>
      <w:tr w:rsidR="00E63513" w:rsidRPr="00E63513" w:rsidTr="00097D57">
        <w:trPr>
          <w:trHeight w:val="66"/>
        </w:trPr>
        <w:tc>
          <w:tcPr>
            <w:tcW w:w="716" w:type="dxa"/>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2013</w:t>
            </w:r>
          </w:p>
        </w:tc>
        <w:tc>
          <w:tcPr>
            <w:tcW w:w="810"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47.4</w:t>
            </w:r>
          </w:p>
        </w:tc>
        <w:tc>
          <w:tcPr>
            <w:tcW w:w="7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149.9</w:t>
            </w:r>
          </w:p>
        </w:tc>
        <w:tc>
          <w:tcPr>
            <w:tcW w:w="1007"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111</w:t>
            </w:r>
          </w:p>
        </w:tc>
        <w:tc>
          <w:tcPr>
            <w:tcW w:w="87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88.7</w:t>
            </w:r>
          </w:p>
        </w:tc>
        <w:tc>
          <w:tcPr>
            <w:tcW w:w="616"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14.7</w:t>
            </w:r>
          </w:p>
        </w:tc>
        <w:tc>
          <w:tcPr>
            <w:tcW w:w="680" w:type="dxa"/>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18.7</w:t>
            </w:r>
          </w:p>
        </w:tc>
        <w:tc>
          <w:tcPr>
            <w:tcW w:w="425"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2.7</w:t>
            </w:r>
          </w:p>
        </w:tc>
        <w:tc>
          <w:tcPr>
            <w:tcW w:w="894"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992" w:type="dxa"/>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5.4</w:t>
            </w:r>
          </w:p>
        </w:tc>
      </w:tr>
      <w:tr w:rsidR="00E63513" w:rsidRPr="00E63513" w:rsidTr="008A0C15">
        <w:trPr>
          <w:trHeight w:val="60"/>
        </w:trPr>
        <w:tc>
          <w:tcPr>
            <w:tcW w:w="716" w:type="dxa"/>
            <w:tcBorders>
              <w:bottom w:val="single" w:sz="4" w:space="0" w:color="auto"/>
            </w:tcBorders>
            <w:shd w:val="clear" w:color="auto" w:fill="auto"/>
            <w:noWrap/>
            <w:vAlign w:val="bottom"/>
            <w:hideMark/>
          </w:tcPr>
          <w:p w:rsidR="00107FD0" w:rsidRPr="00E63513" w:rsidRDefault="00107FD0"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2014</w:t>
            </w:r>
          </w:p>
        </w:tc>
        <w:tc>
          <w:tcPr>
            <w:tcW w:w="810"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47</w:t>
            </w:r>
          </w:p>
        </w:tc>
        <w:tc>
          <w:tcPr>
            <w:tcW w:w="794"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152.7</w:t>
            </w:r>
          </w:p>
        </w:tc>
        <w:tc>
          <w:tcPr>
            <w:tcW w:w="1007"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153.9</w:t>
            </w:r>
          </w:p>
        </w:tc>
        <w:tc>
          <w:tcPr>
            <w:tcW w:w="872"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93.6</w:t>
            </w:r>
          </w:p>
        </w:tc>
        <w:tc>
          <w:tcPr>
            <w:tcW w:w="616"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15.5</w:t>
            </w:r>
          </w:p>
        </w:tc>
        <w:tc>
          <w:tcPr>
            <w:tcW w:w="680" w:type="dxa"/>
            <w:tcBorders>
              <w:bottom w:val="single" w:sz="4" w:space="0" w:color="auto"/>
            </w:tcBorders>
            <w:shd w:val="clear" w:color="auto" w:fill="auto"/>
            <w:noWrap/>
            <w:vAlign w:val="bottom"/>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1559" w:type="dxa"/>
            <w:tcBorders>
              <w:bottom w:val="single" w:sz="4" w:space="0" w:color="auto"/>
            </w:tcBorders>
            <w:shd w:val="clear" w:color="auto" w:fill="auto"/>
            <w:noWrap/>
            <w:vAlign w:val="bottom"/>
            <w:hideMark/>
          </w:tcPr>
          <w:p w:rsidR="00107FD0" w:rsidRPr="00E63513" w:rsidRDefault="00107FD0" w:rsidP="008A0C1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18.7</w:t>
            </w:r>
          </w:p>
        </w:tc>
        <w:tc>
          <w:tcPr>
            <w:tcW w:w="425" w:type="dxa"/>
            <w:gridSpan w:val="2"/>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p>
        </w:tc>
        <w:tc>
          <w:tcPr>
            <w:tcW w:w="700" w:type="dxa"/>
            <w:gridSpan w:val="2"/>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w:t>
            </w:r>
          </w:p>
        </w:tc>
        <w:tc>
          <w:tcPr>
            <w:tcW w:w="894"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w:t>
            </w:r>
          </w:p>
        </w:tc>
        <w:tc>
          <w:tcPr>
            <w:tcW w:w="992" w:type="dxa"/>
            <w:tcBorders>
              <w:bottom w:val="single" w:sz="4" w:space="0" w:color="auto"/>
            </w:tcBorders>
            <w:shd w:val="clear" w:color="auto" w:fill="auto"/>
            <w:noWrap/>
            <w:vAlign w:val="bottom"/>
            <w:hideMark/>
          </w:tcPr>
          <w:p w:rsidR="00107FD0" w:rsidRPr="00E63513" w:rsidRDefault="00107FD0"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r>
      <w:tr w:rsidR="00E63513" w:rsidRPr="00E63513" w:rsidTr="008A0C15">
        <w:trPr>
          <w:trHeight w:val="215"/>
        </w:trPr>
        <w:tc>
          <w:tcPr>
            <w:tcW w:w="10065" w:type="dxa"/>
            <w:gridSpan w:val="14"/>
            <w:tcBorders>
              <w:top w:val="single" w:sz="4" w:space="0" w:color="auto"/>
            </w:tcBorders>
            <w:shd w:val="clear" w:color="auto" w:fill="auto"/>
            <w:noWrap/>
            <w:vAlign w:val="bottom"/>
          </w:tcPr>
          <w:p w:rsidR="0003192A" w:rsidRPr="00E63513" w:rsidRDefault="0003192A" w:rsidP="0064322C">
            <w:pPr>
              <w:spacing w:after="0" w:line="240" w:lineRule="auto"/>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Source: SAMA reports</w:t>
            </w:r>
            <w:r w:rsidR="002547DB" w:rsidRPr="00E63513">
              <w:rPr>
                <w:rFonts w:asciiTheme="majorBidi" w:hAnsiTheme="majorBidi" w:cstheme="majorBidi"/>
                <w:color w:val="000000" w:themeColor="text1"/>
                <w:sz w:val="16"/>
                <w:szCs w:val="16"/>
              </w:rPr>
              <w:t xml:space="preserve"> 2000</w:t>
            </w:r>
            <w:r w:rsidRPr="00E63513">
              <w:rPr>
                <w:rFonts w:asciiTheme="majorBidi" w:hAnsiTheme="majorBidi" w:cstheme="majorBidi"/>
                <w:color w:val="000000" w:themeColor="text1"/>
                <w:sz w:val="16"/>
                <w:szCs w:val="16"/>
              </w:rPr>
              <w:t>-201</w:t>
            </w:r>
            <w:r w:rsidR="0064322C" w:rsidRPr="00E63513">
              <w:rPr>
                <w:rFonts w:asciiTheme="majorBidi" w:hAnsiTheme="majorBidi" w:cstheme="majorBidi"/>
                <w:color w:val="000000" w:themeColor="text1"/>
                <w:sz w:val="16"/>
                <w:szCs w:val="16"/>
              </w:rPr>
              <w:t>4</w:t>
            </w:r>
          </w:p>
        </w:tc>
      </w:tr>
    </w:tbl>
    <w:p w:rsidR="00EA5BAD" w:rsidRPr="00E63513" w:rsidRDefault="0015540E"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lastRenderedPageBreak/>
        <w:t>3.</w:t>
      </w:r>
      <w:r w:rsidR="00D325A5" w:rsidRPr="00E63513">
        <w:rPr>
          <w:rFonts w:asciiTheme="majorBidi" w:hAnsiTheme="majorBidi" w:cstheme="majorBidi"/>
          <w:b/>
          <w:bCs/>
          <w:color w:val="000000" w:themeColor="text1"/>
        </w:rPr>
        <w:t xml:space="preserve"> </w:t>
      </w:r>
      <w:r w:rsidR="00E70629" w:rsidRPr="00E63513">
        <w:rPr>
          <w:rFonts w:asciiTheme="majorBidi" w:hAnsiTheme="majorBidi" w:cstheme="majorBidi"/>
          <w:b/>
          <w:bCs/>
          <w:color w:val="000000" w:themeColor="text1"/>
        </w:rPr>
        <w:t xml:space="preserve">Data and Methodology </w:t>
      </w:r>
    </w:p>
    <w:p w:rsidR="00EB3320" w:rsidRPr="00E63513" w:rsidRDefault="00EB3320" w:rsidP="00E174F5">
      <w:pPr>
        <w:tabs>
          <w:tab w:val="left" w:pos="720"/>
        </w:tabs>
        <w:autoSpaceDE w:val="0"/>
        <w:autoSpaceDN w:val="0"/>
        <w:adjustRightInd w:val="0"/>
        <w:spacing w:after="0" w:line="240" w:lineRule="auto"/>
        <w:jc w:val="both"/>
        <w:rPr>
          <w:rFonts w:asciiTheme="majorBidi" w:hAnsiTheme="majorBidi" w:cstheme="majorBidi"/>
          <w:b/>
          <w:bCs/>
          <w:color w:val="000000" w:themeColor="text1"/>
        </w:rPr>
      </w:pPr>
    </w:p>
    <w:p w:rsidR="00FF2FB6" w:rsidRPr="00E63513" w:rsidRDefault="00FF2FB6" w:rsidP="00204C96">
      <w:pPr>
        <w:spacing w:line="240" w:lineRule="auto"/>
        <w:rPr>
          <w:rFonts w:asciiTheme="majorBidi" w:hAnsiTheme="majorBidi" w:cstheme="majorBidi"/>
          <w:b/>
          <w:bCs/>
          <w:color w:val="000000" w:themeColor="text1"/>
        </w:rPr>
      </w:pPr>
      <w:r w:rsidRPr="00E63513">
        <w:rPr>
          <w:rFonts w:asciiTheme="majorBidi" w:hAnsiTheme="majorBidi" w:cstheme="majorBidi"/>
          <w:b/>
          <w:bCs/>
          <w:color w:val="000000" w:themeColor="text1"/>
        </w:rPr>
        <w:t>3.</w:t>
      </w:r>
      <w:r w:rsidR="00204C96" w:rsidRPr="00E63513">
        <w:rPr>
          <w:rFonts w:asciiTheme="majorBidi" w:hAnsiTheme="majorBidi" w:cstheme="majorBidi"/>
          <w:b/>
          <w:bCs/>
          <w:color w:val="000000" w:themeColor="text1"/>
        </w:rPr>
        <w:t>1</w:t>
      </w:r>
      <w:r w:rsidR="00754A58" w:rsidRPr="00E63513">
        <w:rPr>
          <w:rFonts w:asciiTheme="majorBidi" w:hAnsiTheme="majorBidi" w:cstheme="majorBidi"/>
          <w:b/>
          <w:bCs/>
          <w:color w:val="000000" w:themeColor="text1"/>
        </w:rPr>
        <w:t xml:space="preserve">. </w:t>
      </w:r>
      <w:r w:rsidRPr="00E63513">
        <w:rPr>
          <w:rFonts w:asciiTheme="majorBidi" w:hAnsiTheme="majorBidi" w:cstheme="majorBidi"/>
          <w:b/>
          <w:bCs/>
          <w:color w:val="000000" w:themeColor="text1"/>
        </w:rPr>
        <w:t xml:space="preserve">Data </w:t>
      </w:r>
    </w:p>
    <w:p w:rsidR="00E77949" w:rsidRPr="00E63513" w:rsidRDefault="00626214" w:rsidP="00A837DB">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The data covers the financial performances of 11 of the 12 banks listed in the Saudi Stock Market for the period 2000 to 2015. The National Commercial Bank was listed in the year 2014 and hence is excluded from the study. </w:t>
      </w:r>
      <w:r w:rsidRPr="00E63513">
        <w:rPr>
          <w:rFonts w:asciiTheme="majorBidi" w:hAnsiTheme="majorBidi" w:cstheme="majorBidi"/>
          <w:bCs/>
          <w:color w:val="000000" w:themeColor="text1"/>
        </w:rPr>
        <w:t>The final sample consists of 7 conventional banks and 4 Islamic banks</w:t>
      </w:r>
      <w:r w:rsidRPr="00E63513">
        <w:rPr>
          <w:rFonts w:asciiTheme="majorBidi" w:hAnsiTheme="majorBidi" w:cstheme="majorBidi"/>
          <w:b/>
          <w:bCs/>
          <w:color w:val="000000" w:themeColor="text1"/>
        </w:rPr>
        <w:t>.</w:t>
      </w:r>
      <w:r w:rsidR="00DF502C" w:rsidRPr="00E63513">
        <w:rPr>
          <w:rFonts w:asciiTheme="majorBidi" w:hAnsiTheme="majorBidi" w:cstheme="majorBidi"/>
          <w:color w:val="000000" w:themeColor="text1"/>
        </w:rPr>
        <w:t xml:space="preserve">The data is collected from </w:t>
      </w:r>
      <w:r w:rsidR="00C3173F" w:rsidRPr="00E63513">
        <w:rPr>
          <w:rFonts w:asciiTheme="majorBidi" w:hAnsiTheme="majorBidi" w:cstheme="majorBidi"/>
          <w:color w:val="000000" w:themeColor="text1"/>
        </w:rPr>
        <w:t xml:space="preserve">the </w:t>
      </w:r>
      <w:r w:rsidR="00DF502C" w:rsidRPr="00E63513">
        <w:rPr>
          <w:rFonts w:asciiTheme="majorBidi" w:hAnsiTheme="majorBidi" w:cstheme="majorBidi"/>
          <w:color w:val="000000" w:themeColor="text1"/>
        </w:rPr>
        <w:t xml:space="preserve">Bureau Van Dijk's Bankscope database provided by the library of Universiti Teknologi MARA. </w:t>
      </w:r>
      <w:r w:rsidR="00841B68" w:rsidRPr="00E63513">
        <w:rPr>
          <w:rFonts w:asciiTheme="majorBidi" w:hAnsiTheme="majorBidi" w:cstheme="majorBidi"/>
          <w:color w:val="000000" w:themeColor="text1"/>
        </w:rPr>
        <w:t xml:space="preserve">In the first two stages, </w:t>
      </w:r>
      <w:r w:rsidR="00C3173F" w:rsidRPr="00E63513">
        <w:rPr>
          <w:rFonts w:asciiTheme="majorBidi" w:hAnsiTheme="majorBidi" w:cstheme="majorBidi"/>
          <w:color w:val="000000" w:themeColor="text1"/>
        </w:rPr>
        <w:t xml:space="preserve">the performances of these two banking groups are carried out and in the third stage, </w:t>
      </w:r>
      <w:r w:rsidR="00A837DB" w:rsidRPr="00E63513">
        <w:rPr>
          <w:rFonts w:asciiTheme="majorBidi" w:hAnsiTheme="majorBidi" w:cstheme="majorBidi"/>
          <w:color w:val="000000" w:themeColor="text1"/>
        </w:rPr>
        <w:t>comparative evaluation is performed.</w:t>
      </w:r>
    </w:p>
    <w:p w:rsidR="00C3173F" w:rsidRPr="00E63513" w:rsidRDefault="00C3173F" w:rsidP="00C3173F">
      <w:pPr>
        <w:spacing w:after="0" w:line="240" w:lineRule="auto"/>
        <w:ind w:firstLine="720"/>
        <w:jc w:val="both"/>
        <w:rPr>
          <w:rFonts w:asciiTheme="majorBidi" w:hAnsiTheme="majorBidi" w:cstheme="majorBidi"/>
          <w:b/>
          <w:bCs/>
          <w:color w:val="000000" w:themeColor="text1"/>
        </w:rPr>
      </w:pPr>
    </w:p>
    <w:p w:rsidR="00841B68" w:rsidRPr="00E63513" w:rsidRDefault="00841B68" w:rsidP="00E174F5">
      <w:pPr>
        <w:spacing w:line="240" w:lineRule="auto"/>
        <w:contextualSpacing/>
        <w:jc w:val="both"/>
        <w:rPr>
          <w:rFonts w:asciiTheme="majorBidi" w:hAnsiTheme="majorBidi" w:cstheme="majorBidi"/>
          <w:b/>
          <w:bCs/>
          <w:color w:val="000000" w:themeColor="text1"/>
        </w:rPr>
      </w:pPr>
    </w:p>
    <w:p w:rsidR="002428B0" w:rsidRPr="00E63513" w:rsidRDefault="002428B0" w:rsidP="00204C96">
      <w:pPr>
        <w:spacing w:line="240" w:lineRule="auto"/>
        <w:contextualSpacing/>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3.</w:t>
      </w:r>
      <w:r w:rsidR="00204C96" w:rsidRPr="00E63513">
        <w:rPr>
          <w:rFonts w:asciiTheme="majorBidi" w:hAnsiTheme="majorBidi" w:cstheme="majorBidi"/>
          <w:b/>
          <w:bCs/>
          <w:color w:val="000000" w:themeColor="text1"/>
        </w:rPr>
        <w:t>2</w:t>
      </w:r>
      <w:r w:rsidR="00754A58" w:rsidRPr="00E63513">
        <w:rPr>
          <w:rFonts w:asciiTheme="majorBidi" w:hAnsiTheme="majorBidi" w:cstheme="majorBidi"/>
          <w:b/>
          <w:bCs/>
          <w:color w:val="000000" w:themeColor="text1"/>
        </w:rPr>
        <w:t>.</w:t>
      </w:r>
      <w:r w:rsidR="00DF502C" w:rsidRPr="00E63513">
        <w:rPr>
          <w:rFonts w:asciiTheme="majorBidi" w:hAnsiTheme="majorBidi" w:cstheme="majorBidi"/>
          <w:b/>
          <w:bCs/>
          <w:color w:val="000000" w:themeColor="text1"/>
        </w:rPr>
        <w:t xml:space="preserve"> Methodology</w:t>
      </w:r>
    </w:p>
    <w:p w:rsidR="00DF502C" w:rsidRPr="00E63513" w:rsidRDefault="00DF502C" w:rsidP="00E174F5">
      <w:pPr>
        <w:spacing w:line="240" w:lineRule="auto"/>
        <w:contextualSpacing/>
        <w:jc w:val="both"/>
        <w:rPr>
          <w:rFonts w:asciiTheme="majorBidi" w:hAnsiTheme="majorBidi" w:cstheme="majorBidi"/>
          <w:b/>
          <w:bCs/>
          <w:color w:val="000000" w:themeColor="text1"/>
        </w:rPr>
      </w:pPr>
    </w:p>
    <w:p w:rsidR="00074FC4" w:rsidRPr="00E63513" w:rsidRDefault="00074FC4" w:rsidP="00C3173F">
      <w:pPr>
        <w:spacing w:line="240" w:lineRule="auto"/>
        <w:ind w:firstLine="720"/>
        <w:contextualSpacing/>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To examine the relationship between CAMELs </w:t>
      </w:r>
      <w:r w:rsidR="00C3173F" w:rsidRPr="00E63513">
        <w:rPr>
          <w:rFonts w:asciiTheme="majorBidi" w:hAnsiTheme="majorBidi" w:cstheme="majorBidi"/>
          <w:color w:val="000000" w:themeColor="text1"/>
        </w:rPr>
        <w:t xml:space="preserve">parameters </w:t>
      </w:r>
      <w:r w:rsidRPr="00E63513">
        <w:rPr>
          <w:rFonts w:asciiTheme="majorBidi" w:hAnsiTheme="majorBidi" w:cstheme="majorBidi"/>
          <w:color w:val="000000" w:themeColor="text1"/>
        </w:rPr>
        <w:t xml:space="preserve">and </w:t>
      </w:r>
      <w:r w:rsidR="00C3173F" w:rsidRPr="00E63513">
        <w:rPr>
          <w:rFonts w:asciiTheme="majorBidi" w:hAnsiTheme="majorBidi" w:cstheme="majorBidi"/>
          <w:color w:val="000000" w:themeColor="text1"/>
        </w:rPr>
        <w:t>the shareholders’</w:t>
      </w:r>
      <w:r w:rsidR="007C6EBB" w:rsidRPr="00E63513">
        <w:rPr>
          <w:rFonts w:asciiTheme="majorBidi" w:hAnsiTheme="majorBidi" w:cstheme="majorBidi"/>
          <w:color w:val="000000" w:themeColor="text1"/>
        </w:rPr>
        <w:t xml:space="preserve"> value</w:t>
      </w:r>
      <w:r w:rsidRPr="00E63513">
        <w:rPr>
          <w:rFonts w:asciiTheme="majorBidi" w:hAnsiTheme="majorBidi" w:cstheme="majorBidi"/>
          <w:color w:val="000000" w:themeColor="text1"/>
        </w:rPr>
        <w:t xml:space="preserve"> of Saudi listed banks, the following model </w:t>
      </w:r>
      <w:r w:rsidR="007C6EBB" w:rsidRPr="00E63513">
        <w:rPr>
          <w:rFonts w:asciiTheme="majorBidi" w:hAnsiTheme="majorBidi" w:cstheme="majorBidi"/>
          <w:color w:val="000000" w:themeColor="text1"/>
        </w:rPr>
        <w:t>is</w:t>
      </w:r>
      <w:r w:rsidRPr="00E63513">
        <w:rPr>
          <w:rFonts w:asciiTheme="majorBidi" w:hAnsiTheme="majorBidi" w:cstheme="majorBidi"/>
          <w:color w:val="000000" w:themeColor="text1"/>
        </w:rPr>
        <w:t xml:space="preserve"> </w:t>
      </w:r>
      <w:r w:rsidR="00441EF9" w:rsidRPr="00E63513">
        <w:rPr>
          <w:rFonts w:asciiTheme="majorBidi" w:hAnsiTheme="majorBidi" w:cstheme="majorBidi"/>
          <w:color w:val="000000" w:themeColor="text1"/>
        </w:rPr>
        <w:t>estimated</w:t>
      </w:r>
      <w:r w:rsidRPr="00E63513">
        <w:rPr>
          <w:rFonts w:asciiTheme="majorBidi" w:hAnsiTheme="majorBidi" w:cstheme="majorBidi"/>
          <w:color w:val="000000" w:themeColor="text1"/>
        </w:rPr>
        <w:t>:</w:t>
      </w:r>
    </w:p>
    <w:p w:rsidR="00B845CF" w:rsidRPr="00E63513" w:rsidRDefault="00B845CF" w:rsidP="00E174F5">
      <w:pPr>
        <w:spacing w:line="240" w:lineRule="auto"/>
        <w:contextualSpacing/>
        <w:jc w:val="both"/>
        <w:rPr>
          <w:rFonts w:asciiTheme="majorBidi" w:hAnsiTheme="majorBidi" w:cstheme="majorBidi"/>
          <w:color w:val="000000" w:themeColor="text1"/>
        </w:rPr>
      </w:pPr>
    </w:p>
    <w:p w:rsidR="002428B0" w:rsidRPr="00E63513" w:rsidRDefault="009B19E4" w:rsidP="00E174F5">
      <w:pPr>
        <w:spacing w:after="0" w:line="240" w:lineRule="auto"/>
        <w:jc w:val="both"/>
        <w:rPr>
          <w:rFonts w:asciiTheme="majorBidi" w:hAnsiTheme="majorBidi" w:cstheme="majorBidi"/>
          <w:b/>
          <w:color w:val="000000" w:themeColor="text1"/>
        </w:rPr>
      </w:pPr>
      <m:oMathPara>
        <m:oMath>
          <m:sSub>
            <m:sSubPr>
              <m:ctrlPr>
                <w:rPr>
                  <w:rFonts w:ascii="Cambria Math" w:eastAsiaTheme="minorEastAsia" w:hAnsi="Cambria Math" w:cstheme="majorBidi"/>
                  <w:b/>
                  <w:i/>
                  <w:color w:val="000000" w:themeColor="text1"/>
                  <w:sz w:val="18"/>
                  <w:szCs w:val="18"/>
                </w:rPr>
              </m:ctrlPr>
            </m:sSubPr>
            <m:e>
              <m:r>
                <m:rPr>
                  <m:sty m:val="bi"/>
                </m:rPr>
                <w:rPr>
                  <w:rFonts w:ascii="Cambria Math" w:eastAsiaTheme="minorEastAsia" w:hAnsi="Cambria Math" w:cstheme="majorBidi"/>
                  <w:color w:val="000000" w:themeColor="text1"/>
                  <w:sz w:val="18"/>
                  <w:szCs w:val="18"/>
                </w:rPr>
                <m:t>II</m:t>
              </m:r>
            </m:e>
            <m:sub>
              <m:r>
                <m:rPr>
                  <m:sty m:val="bi"/>
                </m:rPr>
                <w:rPr>
                  <w:rFonts w:ascii="Cambria Math" w:eastAsiaTheme="minorEastAsia" w:hAnsi="Cambria Math" w:cstheme="majorBidi"/>
                  <w:color w:val="000000" w:themeColor="text1"/>
                  <w:sz w:val="18"/>
                  <w:szCs w:val="18"/>
                </w:rPr>
                <m:t>ij,t</m:t>
              </m:r>
            </m:sub>
          </m:sSub>
          <m:r>
            <m:rPr>
              <m:sty m:val="bi"/>
            </m:rPr>
            <w:rPr>
              <w:rFonts w:ascii="Cambria Math" w:hAnsi="Cambria Math" w:cstheme="majorBidi"/>
              <w:color w:val="000000" w:themeColor="text1"/>
              <w:sz w:val="18"/>
              <w:szCs w:val="18"/>
            </w:rPr>
            <m:t>=</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0</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1</m:t>
                  </m:r>
                </m:e>
                <m:sub>
                  <m:r>
                    <m:rPr>
                      <m:sty m:val="bi"/>
                    </m:rPr>
                    <w:rPr>
                      <w:rFonts w:ascii="Cambria Math" w:hAnsi="Cambria Math" w:cstheme="majorBidi"/>
                      <w:color w:val="000000" w:themeColor="text1"/>
                      <w:sz w:val="18"/>
                      <w:szCs w:val="18"/>
                    </w:rPr>
                    <m:t>it</m:t>
                  </m:r>
                </m:sub>
              </m:sSub>
            </m:sub>
          </m:s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CAR</m:t>
              </m:r>
            </m:e>
            <m:sub>
              <m:r>
                <m:rPr>
                  <m:sty m:val="bi"/>
                </m:rPr>
                <w:rPr>
                  <w:rFonts w:ascii="Cambria Math" w:hAnsi="Cambria Math" w:cstheme="majorBidi"/>
                  <w:color w:val="000000" w:themeColor="text1"/>
                  <w:sz w:val="18"/>
                  <w:szCs w:val="18"/>
                </w:rPr>
                <m:t>it</m:t>
              </m:r>
            </m:sub>
          </m:sSub>
          <m:r>
            <m:rPr>
              <m:sty m:val="bi"/>
            </m:rPr>
            <w:rPr>
              <w:rFonts w:ascii="Cambria Math" w:hAnsi="Cambria Math" w:cstheme="majorBidi"/>
              <w:color w:val="000000" w:themeColor="text1"/>
              <w:sz w:val="18"/>
              <w:szCs w:val="18"/>
            </w:rPr>
            <m:t>+</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2</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AQ</m:t>
              </m:r>
            </m:e>
            <m:sub>
              <m:r>
                <m:rPr>
                  <m:sty m:val="bi"/>
                </m:rPr>
                <w:rPr>
                  <w:rFonts w:ascii="Cambria Math" w:hAnsi="Cambria Math" w:cstheme="majorBidi"/>
                  <w:color w:val="000000" w:themeColor="text1"/>
                  <w:sz w:val="18"/>
                  <w:szCs w:val="18"/>
                </w:rPr>
                <m:t>it</m:t>
              </m:r>
            </m:sub>
          </m:sSub>
          <m:r>
            <m:rPr>
              <m:sty m:val="bi"/>
            </m:rPr>
            <w:rPr>
              <w:rFonts w:ascii="Cambria Math" w:hAnsi="Cambria Math" w:cstheme="majorBidi"/>
              <w:color w:val="000000" w:themeColor="text1"/>
              <w:sz w:val="18"/>
              <w:szCs w:val="18"/>
            </w:rPr>
            <m:t>+</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3</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OE</m:t>
              </m:r>
            </m:e>
            <m:sub>
              <m:r>
                <m:rPr>
                  <m:sty m:val="bi"/>
                </m:rPr>
                <w:rPr>
                  <w:rFonts w:ascii="Cambria Math" w:hAnsi="Cambria Math" w:cstheme="majorBidi"/>
                  <w:color w:val="000000" w:themeColor="text1"/>
                  <w:sz w:val="18"/>
                  <w:szCs w:val="18"/>
                </w:rPr>
                <m:t>it</m:t>
              </m:r>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4</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LIQR</m:t>
              </m:r>
              <m:r>
                <m:rPr>
                  <m:sty m:val="bi"/>
                </m:rPr>
                <w:rPr>
                  <w:rFonts w:ascii="Cambria Math" w:hAnsi="Cambria Math" w:cstheme="majorBidi"/>
                  <w:color w:val="000000" w:themeColor="text1"/>
                  <w:sz w:val="18"/>
                  <w:szCs w:val="18"/>
                </w:rPr>
                <m:t>1</m:t>
              </m:r>
            </m:e>
            <m:sub>
              <m:r>
                <m:rPr>
                  <m:sty m:val="bi"/>
                </m:rPr>
                <w:rPr>
                  <w:rFonts w:ascii="Cambria Math" w:hAnsi="Cambria Math" w:cstheme="majorBidi"/>
                  <w:color w:val="000000" w:themeColor="text1"/>
                  <w:sz w:val="18"/>
                  <w:szCs w:val="18"/>
                </w:rPr>
                <m:t>it</m:t>
              </m:r>
            </m:sub>
          </m:sSub>
          <m:r>
            <m:rPr>
              <m:sty m:val="bi"/>
            </m:rPr>
            <w:rPr>
              <w:rFonts w:ascii="Cambria Math" w:hAnsi="Cambria Math" w:cstheme="majorBidi"/>
              <w:color w:val="000000" w:themeColor="text1"/>
              <w:sz w:val="18"/>
              <w:szCs w:val="18"/>
            </w:rPr>
            <m:t>+</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5</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LIQR</m:t>
              </m:r>
              <m:r>
                <m:rPr>
                  <m:sty m:val="bi"/>
                </m:rPr>
                <w:rPr>
                  <w:rFonts w:ascii="Cambria Math" w:hAnsi="Cambria Math" w:cstheme="majorBidi"/>
                  <w:color w:val="000000" w:themeColor="text1"/>
                  <w:sz w:val="18"/>
                  <w:szCs w:val="18"/>
                </w:rPr>
                <m:t>2</m:t>
              </m:r>
            </m:e>
            <m:sub>
              <m:r>
                <m:rPr>
                  <m:sty m:val="bi"/>
                </m:rPr>
                <w:rPr>
                  <w:rFonts w:ascii="Cambria Math" w:hAnsi="Cambria Math" w:cstheme="majorBidi"/>
                  <w:color w:val="000000" w:themeColor="text1"/>
                  <w:sz w:val="18"/>
                  <w:szCs w:val="18"/>
                </w:rPr>
                <m:t>it</m:t>
              </m:r>
            </m:sub>
          </m:s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 β</m:t>
              </m:r>
            </m:e>
            <m:sub>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6</m:t>
                  </m:r>
                </m:e>
                <m:sub>
                  <m:r>
                    <m:rPr>
                      <m:sty m:val="bi"/>
                    </m:rPr>
                    <w:rPr>
                      <w:rFonts w:ascii="Cambria Math" w:hAnsi="Cambria Math" w:cstheme="majorBidi"/>
                      <w:color w:val="000000" w:themeColor="text1"/>
                      <w:sz w:val="18"/>
                      <w:szCs w:val="18"/>
                    </w:rPr>
                    <m:t>it</m:t>
                  </m:r>
                </m:sub>
              </m:sSub>
            </m:sub>
          </m:sSub>
          <m:r>
            <m:rPr>
              <m:sty m:val="bi"/>
            </m:rPr>
            <w:rPr>
              <w:rFonts w:ascii="Cambria Math" w:hAnsi="Cambria Math" w:cstheme="majorBidi"/>
              <w:color w:val="000000" w:themeColor="text1"/>
              <w:sz w:val="18"/>
              <w:szCs w:val="18"/>
            </w:rPr>
            <m:t xml:space="preserve"> </m:t>
          </m:r>
          <m:sSub>
            <m:sSubPr>
              <m:ctrlPr>
                <w:rPr>
                  <w:rFonts w:ascii="Cambria Math" w:hAnsi="Cambria Math" w:cstheme="majorBidi"/>
                  <w:b/>
                  <w:i/>
                  <w:color w:val="000000" w:themeColor="text1"/>
                  <w:sz w:val="18"/>
                  <w:szCs w:val="18"/>
                </w:rPr>
              </m:ctrlPr>
            </m:sSubPr>
            <m:e>
              <m:r>
                <m:rPr>
                  <m:sty m:val="bi"/>
                </m:rPr>
                <w:rPr>
                  <w:rFonts w:ascii="Cambria Math" w:hAnsi="Cambria Math" w:cstheme="majorBidi"/>
                  <w:color w:val="000000" w:themeColor="text1"/>
                  <w:sz w:val="18"/>
                  <w:szCs w:val="18"/>
                </w:rPr>
                <m:t>SIZE</m:t>
              </m:r>
            </m:e>
            <m:sub>
              <m:r>
                <m:rPr>
                  <m:sty m:val="bi"/>
                </m:rPr>
                <w:rPr>
                  <w:rFonts w:ascii="Cambria Math" w:hAnsi="Cambria Math" w:cstheme="majorBidi"/>
                  <w:color w:val="000000" w:themeColor="text1"/>
                  <w:sz w:val="18"/>
                  <w:szCs w:val="18"/>
                </w:rPr>
                <m:t>it</m:t>
              </m:r>
            </m:sub>
          </m:sSub>
          <m:r>
            <m:rPr>
              <m:sty m:val="bi"/>
            </m:rPr>
            <w:rPr>
              <w:rFonts w:ascii="Cambria Math" w:hAnsi="Cambria Math" w:cstheme="majorBidi"/>
              <w:color w:val="000000" w:themeColor="text1"/>
              <w:sz w:val="18"/>
              <w:szCs w:val="18"/>
            </w:rPr>
            <m:t>+ϵit….(1)</m:t>
          </m:r>
        </m:oMath>
      </m:oMathPara>
    </w:p>
    <w:p w:rsidR="0017363A" w:rsidRPr="00E63513" w:rsidRDefault="0017363A" w:rsidP="00E174F5">
      <w:pPr>
        <w:spacing w:after="0" w:line="240" w:lineRule="auto"/>
        <w:ind w:firstLine="720"/>
        <w:jc w:val="both"/>
        <w:rPr>
          <w:rFonts w:asciiTheme="majorBidi" w:hAnsiTheme="majorBidi" w:cstheme="majorBidi"/>
          <w:color w:val="000000" w:themeColor="text1"/>
        </w:rPr>
      </w:pPr>
    </w:p>
    <w:p w:rsidR="002428B0" w:rsidRPr="00E63513" w:rsidRDefault="002428B0" w:rsidP="00CE6082">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Where</w:t>
      </w:r>
      <w:r w:rsidRPr="00E63513">
        <w:rPr>
          <w:rFonts w:asciiTheme="majorBidi" w:hAnsiTheme="majorBidi" w:cstheme="majorBidi"/>
          <w:b/>
          <w:bCs/>
          <w:color w:val="000000" w:themeColor="text1"/>
        </w:rPr>
        <w:t xml:space="preserve"> </w:t>
      </w:r>
      <m:oMath>
        <m:sSub>
          <m:sSubPr>
            <m:ctrlPr>
              <w:rPr>
                <w:rFonts w:ascii="Cambria Math" w:eastAsiaTheme="minorEastAsia" w:hAnsi="Cambria Math" w:cstheme="majorBidi"/>
                <w:color w:val="000000" w:themeColor="text1"/>
              </w:rPr>
            </m:ctrlPr>
          </m:sSubPr>
          <m:e>
            <m:r>
              <m:rPr>
                <m:sty m:val="p"/>
              </m:rPr>
              <w:rPr>
                <w:rFonts w:ascii="Cambria Math" w:eastAsiaTheme="minorEastAsia" w:hAnsi="Cambria Math" w:cstheme="majorBidi"/>
                <w:color w:val="000000" w:themeColor="text1"/>
              </w:rPr>
              <m:t>II</m:t>
            </m:r>
          </m:e>
          <m:sub>
            <m:r>
              <m:rPr>
                <m:sty m:val="p"/>
              </m:rPr>
              <w:rPr>
                <w:rFonts w:ascii="Cambria Math" w:eastAsiaTheme="minorEastAsia" w:hAnsi="Cambria Math" w:cstheme="majorBidi"/>
                <w:color w:val="000000" w:themeColor="text1"/>
              </w:rPr>
              <m:t>ij,t</m:t>
            </m:r>
          </m:sub>
        </m:sSub>
      </m:oMath>
      <w:r w:rsidRPr="00E63513">
        <w:rPr>
          <w:rFonts w:asciiTheme="majorBidi" w:eastAsiaTheme="minorEastAsia" w:hAnsiTheme="majorBidi" w:cstheme="majorBidi"/>
          <w:color w:val="000000" w:themeColor="text1"/>
        </w:rPr>
        <w:t xml:space="preserve"> </w:t>
      </w:r>
      <w:r w:rsidR="00CE6082" w:rsidRPr="00E63513">
        <w:rPr>
          <w:rFonts w:asciiTheme="majorBidi" w:eastAsiaTheme="minorEastAsia" w:hAnsiTheme="majorBidi" w:cstheme="majorBidi"/>
          <w:color w:val="000000" w:themeColor="text1"/>
        </w:rPr>
        <w:t xml:space="preserve">is </w:t>
      </w:r>
      <w:r w:rsidR="00074FC4" w:rsidRPr="00E63513">
        <w:rPr>
          <w:rFonts w:asciiTheme="majorBidi" w:eastAsiaTheme="minorEastAsia" w:hAnsiTheme="majorBidi" w:cstheme="majorBidi"/>
          <w:color w:val="000000" w:themeColor="text1"/>
        </w:rPr>
        <w:t>the</w:t>
      </w:r>
      <w:r w:rsidRPr="00E63513">
        <w:rPr>
          <w:rFonts w:asciiTheme="majorBidi" w:eastAsiaTheme="minorEastAsia" w:hAnsiTheme="majorBidi" w:cstheme="majorBidi"/>
          <w:color w:val="000000" w:themeColor="text1"/>
        </w:rPr>
        <w:t xml:space="preserve"> </w:t>
      </w:r>
      <w:r w:rsidR="007C6EBB" w:rsidRPr="00E63513">
        <w:rPr>
          <w:rFonts w:asciiTheme="majorBidi" w:hAnsiTheme="majorBidi" w:cstheme="majorBidi"/>
          <w:color w:val="000000" w:themeColor="text1"/>
        </w:rPr>
        <w:t>shareholders’ value</w:t>
      </w:r>
      <w:r w:rsidRPr="00E63513">
        <w:rPr>
          <w:rFonts w:asciiTheme="majorBidi" w:hAnsiTheme="majorBidi" w:cstheme="majorBidi"/>
          <w:color w:val="000000" w:themeColor="text1"/>
        </w:rPr>
        <w:t xml:space="preserve"> </w:t>
      </w:r>
      <w:r w:rsidR="00074FC4" w:rsidRPr="00E63513">
        <w:rPr>
          <w:rFonts w:asciiTheme="majorBidi" w:hAnsiTheme="majorBidi" w:cstheme="majorBidi"/>
          <w:color w:val="000000" w:themeColor="text1"/>
        </w:rPr>
        <w:t xml:space="preserve">of bank </w:t>
      </w:r>
      <w:r w:rsidRPr="00E63513">
        <w:rPr>
          <w:rFonts w:asciiTheme="majorBidi" w:hAnsiTheme="majorBidi" w:cstheme="majorBidi"/>
          <w:color w:val="000000" w:themeColor="text1"/>
        </w:rPr>
        <w:t>i at time t as expressed by, Tobin’s Q</w:t>
      </w:r>
      <w:r w:rsidR="00074FC4" w:rsidRPr="00E63513">
        <w:rPr>
          <w:rFonts w:asciiTheme="majorBidi" w:hAnsiTheme="majorBidi" w:cstheme="majorBidi"/>
          <w:color w:val="000000" w:themeColor="text1"/>
        </w:rPr>
        <w:t>, MB</w:t>
      </w:r>
      <w:r w:rsidR="005B4774" w:rsidRPr="00E63513">
        <w:rPr>
          <w:rFonts w:asciiTheme="majorBidi" w:hAnsiTheme="majorBidi" w:cstheme="majorBidi"/>
          <w:color w:val="000000" w:themeColor="text1"/>
        </w:rPr>
        <w:t>,</w:t>
      </w:r>
      <w:r w:rsidR="00074FC4" w:rsidRPr="00E63513">
        <w:rPr>
          <w:rFonts w:asciiTheme="majorBidi" w:hAnsiTheme="majorBidi" w:cstheme="majorBidi"/>
          <w:color w:val="000000" w:themeColor="text1"/>
        </w:rPr>
        <w:t xml:space="preserve"> and ROE</w:t>
      </w:r>
      <w:r w:rsidR="005B4774" w:rsidRPr="00E63513">
        <w:rPr>
          <w:rFonts w:asciiTheme="majorBidi" w:hAnsiTheme="majorBidi" w:cstheme="majorBidi"/>
          <w:color w:val="000000" w:themeColor="text1"/>
        </w:rPr>
        <w:t>. While</w:t>
      </w:r>
      <w:r w:rsidRPr="00E63513">
        <w:rPr>
          <w:rFonts w:asciiTheme="majorBidi" w:hAnsiTheme="majorBidi" w:cstheme="majorBidi"/>
          <w:color w:val="000000" w:themeColor="text1"/>
        </w:rPr>
        <w:t xml:space="preserve"> CAR is capital adequacy ratio, AQ is assets quality, OE is operational efficiency</w:t>
      </w:r>
      <w:r w:rsidR="00575425" w:rsidRPr="00E63513">
        <w:rPr>
          <w:rFonts w:asciiTheme="majorBidi" w:hAnsiTheme="majorBidi" w:cstheme="majorBidi"/>
          <w:color w:val="000000" w:themeColor="text1"/>
        </w:rPr>
        <w:t>, LIQR1</w:t>
      </w:r>
      <w:r w:rsidRPr="00E63513">
        <w:rPr>
          <w:rFonts w:asciiTheme="majorBidi" w:hAnsiTheme="majorBidi" w:cstheme="majorBidi"/>
          <w:color w:val="000000" w:themeColor="text1"/>
        </w:rPr>
        <w:t xml:space="preserve"> </w:t>
      </w:r>
      <w:r w:rsidR="00074FC4" w:rsidRPr="00E63513">
        <w:rPr>
          <w:rFonts w:asciiTheme="majorBidi" w:hAnsiTheme="majorBidi" w:cstheme="majorBidi"/>
          <w:color w:val="000000" w:themeColor="text1"/>
        </w:rPr>
        <w:t xml:space="preserve">is </w:t>
      </w:r>
      <w:r w:rsidR="001F1ED0" w:rsidRPr="00E63513">
        <w:rPr>
          <w:rFonts w:asciiTheme="majorBidi" w:hAnsiTheme="majorBidi" w:cstheme="majorBidi"/>
          <w:color w:val="000000" w:themeColor="text1"/>
        </w:rPr>
        <w:t xml:space="preserve">net loan to total deposits, </w:t>
      </w:r>
      <w:r w:rsidRPr="00E63513">
        <w:rPr>
          <w:rFonts w:asciiTheme="majorBidi" w:hAnsiTheme="majorBidi" w:cstheme="majorBidi"/>
          <w:color w:val="000000" w:themeColor="text1"/>
        </w:rPr>
        <w:t xml:space="preserve">LIQR2 </w:t>
      </w:r>
      <w:r w:rsidR="00074FC4" w:rsidRPr="00E63513">
        <w:rPr>
          <w:rFonts w:asciiTheme="majorBidi" w:hAnsiTheme="majorBidi" w:cstheme="majorBidi"/>
          <w:color w:val="000000" w:themeColor="text1"/>
        </w:rPr>
        <w:t xml:space="preserve">is </w:t>
      </w:r>
      <w:r w:rsidRPr="00E63513">
        <w:rPr>
          <w:rFonts w:asciiTheme="majorBidi" w:hAnsiTheme="majorBidi" w:cstheme="majorBidi"/>
          <w:color w:val="000000" w:themeColor="text1"/>
        </w:rPr>
        <w:t>liquid asset to total assets</w:t>
      </w:r>
      <w:r w:rsidR="00A11F62" w:rsidRPr="00E63513">
        <w:rPr>
          <w:rFonts w:asciiTheme="majorBidi" w:hAnsiTheme="majorBidi" w:cstheme="majorBidi"/>
          <w:color w:val="000000" w:themeColor="text1"/>
        </w:rPr>
        <w:t>, SIZE is Bank Size</w:t>
      </w:r>
      <w:r w:rsidR="001F1ED0" w:rsidRPr="00E63513">
        <w:rPr>
          <w:rFonts w:asciiTheme="majorBidi" w:hAnsiTheme="majorBidi" w:cstheme="majorBidi"/>
          <w:color w:val="000000" w:themeColor="text1"/>
        </w:rPr>
        <w:t>, and ε is an error term.</w:t>
      </w:r>
    </w:p>
    <w:p w:rsidR="00DF502C" w:rsidRPr="00E63513" w:rsidRDefault="00A66B0C" w:rsidP="005B4774">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Following </w:t>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"DOI" : "10.1016/j.ribaf.2006.03.007", "ISBN" : "02755319", "ISSN" : "02755319", "abstract" : "Using bank level data this paper examines how bank's specific characteristics and the overall banking environment affect the profitability of commercial domestic and foreign banks operating in the 15 EU countries over the period 1995-2001. The results indicate that profitability of both domestic and foreign banks is affected not only by bank's specific characteristics but also by financial market structure and macroeconomic conditions. All the variables, with the exception of concentration in the case of domestic banks profits, are significant although their impact and relation with profits is not always the same for domestic and foreign banks. ?? 2006 Elsevier B.V. All rights reserved.", "author" : [ { "dropping-particle" : "", "family" : "Pasiouras", "given" : "Fotios", "non-dropping-particle" : "", "parse-names" : false, "suffix" : "" }, { "dropping-particle" : "", "family" : "Kosmidou", "given" : "Kyriaki", "non-dropping-particle" : "", "parse-names" : false, "suffix" : "" } ], "container-title" : "Research in International Business and Finance", "id" : "ITEM-1", "issued" : { "date-parts" : [ [ "2007" ] ] }, "page" : "222-237", "title" : "Factors influencing the profitability of domestic and foreign commercial banks in the European Union", "type" : "article-journal", "volume" : "21" }, "uris" : [ "http://www.mendeley.com/documents/?uuid=52cdfbc7-bee8-4212-a14c-65138f554029" ] } ], "mendeley" : { "formattedCitation" : "(Pasiouras &amp; Kosmidou, 2007)", "manualFormatting" : "Pasiouras and Kosmidou (2007)", "plainTextFormattedCitation" : "(Pasiouras &amp; Kosmidou, 2007)", "previouslyFormattedCitation" : "(Pasiouras &amp; Kosmidou, 2007)"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Pasiouras and Kosmidou (2007)</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"author" : [ { "dropping-particle" : "", "family" : "Hahm", "given" : "Joon-ho", "non-dropping-particle" : "", "parse-names" : false, "suffix" : "" } ], "container-title" : "Journal of International Economic Studies", "id" : "ITEM-1", "issue" : "1", "issued" : { "date-parts" : [ [ "2008" ] ] }, "page" : "3 -32", "title" : "Determinants and consequences of non-interest income diversification of commercial banks in OECD countries", "type" : "article-journal", "volume" : "12" }, "uris" : [ "http://www.mendeley.com/documents/?uuid=7e61b5cd-6a67-4ac7-924e-9379fa14bfe2" ] } ], "mendeley" : { "formattedCitation" : "(Hahm, 2008)", "manualFormatting" : "Hahm (2008)", "plainTextFormattedCitation" : "(Hahm, 2008)", "previouslyFormattedCitation" : "(Hahm, 2008)"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Hahm (2008)</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and </w:t>
      </w:r>
      <w:r w:rsidRPr="00E63513">
        <w:rPr>
          <w:rFonts w:asciiTheme="majorBidi" w:hAnsiTheme="majorBidi" w:cstheme="majorBidi"/>
          <w:color w:val="000000" w:themeColor="text1"/>
        </w:rPr>
        <w:fldChar w:fldCharType="begin" w:fldLock="1"/>
      </w:r>
      <w:r w:rsidRPr="00E63513">
        <w:rPr>
          <w:rFonts w:asciiTheme="majorBidi" w:hAnsiTheme="majorBidi" w:cstheme="majorBidi"/>
          <w:color w:val="000000" w:themeColor="text1"/>
        </w:rPr>
        <w:instrText>ADDIN CSL_CITATION { "citationItems" : [ { "id" : "ITEM-1", "itemData" : { "DOI" : "10.1016/j.ribaf.2014.04.001", "ISSN" : "02755319", "author" : [ { "dropping-particle" : "", "family" : "Trinugroho", "given" : "Irwan", "non-dropping-particle" : "", "parse-names" : false, "suffix" : "" }, { "dropping-particle" : "", "family" : "Agusman", "given" : "Agusman", "non-dropping-particle" : "", "parse-names" : false, "suffix" : "" }, { "dropping-particle" : "", "family" : "Tarazi", "given" : "Amine", "non-dropping-particle" : "", "parse-names" : false, "suffix" : "" } ], "container-title" : "Research in International Business and Finance", "id" : "ITEM-1", "issued" : { "date-parts" : [ [ "2014", "8" ] ] }, "page" : "139-158", "publisher" : "Elsevier B.V.", "title" : "Why have bank interest margins been so high in Indonesia since the 1997/1998 financial crisis?", "type" : "article-journal", "volume" : "32" }, "uris" : [ "http://www.mendeley.com/documents/?uuid=d772f45a-7b45-46af-b0a1-27a72b35b54b" ] } ], "mendeley" : { "formattedCitation" : "(Trinugroho, Agusman, &amp; Tarazi, 2014)", "manualFormatting" : "Trinugroho, Agusman, and Tarazi (2014)", "plainTextFormattedCitation" : "(Trinugroho, Agusman, &amp; Tarazi, 2014)", "previouslyFormattedCitation" : "(Trinugroho, Agusman, &amp; Tarazi, 2014)"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Trinugroho, Agusman, and Tarazi (2014)</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 xml:space="preserve">, the model (1) </w:t>
      </w:r>
      <w:r w:rsidR="00662BE9" w:rsidRPr="00E63513">
        <w:rPr>
          <w:rFonts w:asciiTheme="majorBidi" w:hAnsiTheme="majorBidi" w:cstheme="majorBidi"/>
          <w:color w:val="000000" w:themeColor="text1"/>
        </w:rPr>
        <w:t>is</w:t>
      </w:r>
      <w:r w:rsidRPr="00E63513">
        <w:rPr>
          <w:rFonts w:asciiTheme="majorBidi" w:hAnsiTheme="majorBidi" w:cstheme="majorBidi"/>
          <w:color w:val="000000" w:themeColor="text1"/>
        </w:rPr>
        <w:t xml:space="preserve"> estimated by both pooled OLS and random effects </w:t>
      </w:r>
      <w:r w:rsidR="005E1E6E" w:rsidRPr="00E63513">
        <w:rPr>
          <w:rFonts w:asciiTheme="majorBidi" w:hAnsiTheme="majorBidi" w:cstheme="majorBidi"/>
          <w:color w:val="000000" w:themeColor="text1"/>
        </w:rPr>
        <w:t>and</w:t>
      </w:r>
      <w:r w:rsidRPr="00E63513">
        <w:rPr>
          <w:rFonts w:asciiTheme="majorBidi" w:hAnsiTheme="majorBidi" w:cstheme="majorBidi"/>
          <w:color w:val="000000" w:themeColor="text1"/>
        </w:rPr>
        <w:t xml:space="preserve"> fixed effects</w:t>
      </w:r>
      <w:r w:rsidR="005E1E6E" w:rsidRPr="00E63513">
        <w:rPr>
          <w:rFonts w:asciiTheme="majorBidi" w:hAnsiTheme="majorBidi" w:cstheme="majorBidi"/>
          <w:color w:val="000000" w:themeColor="text1"/>
        </w:rPr>
        <w:t xml:space="preserve"> model</w:t>
      </w:r>
      <w:r w:rsidRPr="00E63513">
        <w:rPr>
          <w:rFonts w:asciiTheme="majorBidi" w:hAnsiTheme="majorBidi" w:cstheme="majorBidi"/>
          <w:color w:val="000000" w:themeColor="text1"/>
        </w:rPr>
        <w:t>. In order to choose the suitable model</w:t>
      </w:r>
      <w:r w:rsidR="005E1E6E" w:rsidRPr="00E63513">
        <w:rPr>
          <w:rFonts w:asciiTheme="majorBidi" w:hAnsiTheme="majorBidi" w:cstheme="majorBidi"/>
          <w:color w:val="000000" w:themeColor="text1"/>
        </w:rPr>
        <w:t xml:space="preserve"> between random effects and fixed effects</w:t>
      </w:r>
      <w:r w:rsidRPr="00E63513">
        <w:rPr>
          <w:rFonts w:asciiTheme="majorBidi" w:hAnsiTheme="majorBidi" w:cstheme="majorBidi"/>
          <w:color w:val="000000" w:themeColor="text1"/>
        </w:rPr>
        <w:t xml:space="preserve">, the </w:t>
      </w:r>
      <w:r w:rsidR="007C6EBB" w:rsidRPr="00E63513">
        <w:rPr>
          <w:rFonts w:asciiTheme="majorBidi" w:hAnsiTheme="majorBidi" w:cstheme="majorBidi"/>
          <w:color w:val="000000" w:themeColor="text1"/>
        </w:rPr>
        <w:t>Housman</w:t>
      </w:r>
      <w:r w:rsidRPr="00E63513">
        <w:rPr>
          <w:rFonts w:asciiTheme="majorBidi" w:hAnsiTheme="majorBidi" w:cstheme="majorBidi"/>
          <w:color w:val="000000" w:themeColor="text1"/>
        </w:rPr>
        <w:t xml:space="preserve"> test is conducted. If the null hypothesis is rejected, </w:t>
      </w:r>
      <w:r w:rsidR="00CE6082" w:rsidRPr="00E63513">
        <w:rPr>
          <w:rFonts w:asciiTheme="majorBidi" w:hAnsiTheme="majorBidi" w:cstheme="majorBidi"/>
          <w:color w:val="000000" w:themeColor="text1"/>
        </w:rPr>
        <w:t xml:space="preserve">it suggests that random effects model is not appropriate and fixed effects model should be used and vice versa </w:t>
      </w:r>
      <w:r w:rsidRPr="00E63513">
        <w:rPr>
          <w:rFonts w:asciiTheme="majorBidi" w:hAnsiTheme="majorBidi" w:cstheme="majorBidi"/>
          <w:color w:val="000000" w:themeColor="text1"/>
        </w:rPr>
        <w:fldChar w:fldCharType="begin" w:fldLock="1"/>
      </w:r>
      <w:r w:rsidR="00263700" w:rsidRPr="00E63513">
        <w:rPr>
          <w:rFonts w:asciiTheme="majorBidi" w:hAnsiTheme="majorBidi" w:cstheme="majorBidi"/>
          <w:color w:val="000000" w:themeColor="text1"/>
        </w:rPr>
        <w:instrText>ADDIN CSL_CITATION { "citationItems" : [ { "id" : "ITEM-1", "itemData" : { "ISBN" : "0072427922", "author" : [ { "dropping-particle" : "", "family" : "Gujarati", "given" : "Damodar N.", "non-dropping-particle" : "", "parse-names" : false, "suffix" : "" } ], "id" : "ITEM-1", "issued" : { "date-parts" : [ [ "2003" ] ] }, "title" : "Basic econometrics, 4th edition", "type" : "book" }, "uris" : [ "http://www.mendeley.com/documents/?uuid=3b6f4f3f-25a4-46f2-9a88-55651fa126a6" ] } ], "mendeley" : { "formattedCitation" : "(Gujarati, 2003)", "plainTextFormattedCitation" : "(Gujarati, 2003)", "previouslyFormattedCitation" : "(Gujarati, 2003)" }, "properties" : { "noteIndex" : 0 }, "schema" : "https://github.com/citation-style-language/schema/raw/master/csl-citation.json" }</w:instrText>
      </w:r>
      <w:r w:rsidRPr="00E63513">
        <w:rPr>
          <w:rFonts w:asciiTheme="majorBidi" w:hAnsiTheme="majorBidi" w:cstheme="majorBidi"/>
          <w:color w:val="000000" w:themeColor="text1"/>
        </w:rPr>
        <w:fldChar w:fldCharType="separate"/>
      </w:r>
      <w:r w:rsidRPr="00E63513">
        <w:rPr>
          <w:rFonts w:asciiTheme="majorBidi" w:hAnsiTheme="majorBidi" w:cstheme="majorBidi"/>
          <w:noProof/>
          <w:color w:val="000000" w:themeColor="text1"/>
        </w:rPr>
        <w:t>(Gujarati, 2003)</w:t>
      </w:r>
      <w:r w:rsidRPr="00E63513">
        <w:rPr>
          <w:rFonts w:asciiTheme="majorBidi" w:hAnsiTheme="majorBidi" w:cstheme="majorBidi"/>
          <w:color w:val="000000" w:themeColor="text1"/>
        </w:rPr>
        <w:fldChar w:fldCharType="end"/>
      </w:r>
      <w:r w:rsidRPr="00E63513">
        <w:rPr>
          <w:rFonts w:asciiTheme="majorBidi" w:hAnsiTheme="majorBidi" w:cstheme="majorBidi"/>
          <w:color w:val="000000" w:themeColor="text1"/>
        </w:rPr>
        <w:t>.</w:t>
      </w:r>
      <w:r w:rsidR="001E06F9" w:rsidRPr="00E63513">
        <w:rPr>
          <w:rFonts w:asciiTheme="majorBidi" w:hAnsiTheme="majorBidi" w:cstheme="majorBidi"/>
          <w:color w:val="000000" w:themeColor="text1"/>
        </w:rPr>
        <w:t xml:space="preserve"> Table 2 shows the measurements of the variables that are used in the study.</w:t>
      </w:r>
    </w:p>
    <w:p w:rsidR="00CA71F0" w:rsidRPr="00E63513" w:rsidRDefault="00CA71F0" w:rsidP="005B4774">
      <w:pPr>
        <w:spacing w:after="0" w:line="240" w:lineRule="auto"/>
        <w:ind w:firstLine="720"/>
        <w:jc w:val="both"/>
        <w:rPr>
          <w:rFonts w:asciiTheme="majorBidi" w:hAnsiTheme="majorBidi" w:cstheme="majorBidi"/>
          <w:color w:val="000000" w:themeColor="text1"/>
        </w:rPr>
      </w:pPr>
    </w:p>
    <w:p w:rsidR="000B1345" w:rsidRPr="00E63513" w:rsidRDefault="000B1345" w:rsidP="00575425">
      <w:pPr>
        <w:spacing w:after="0" w:line="240" w:lineRule="auto"/>
        <w:ind w:firstLine="720"/>
        <w:jc w:val="both"/>
        <w:rPr>
          <w:rFonts w:asciiTheme="majorBidi" w:hAnsiTheme="majorBidi" w:cstheme="majorBidi"/>
          <w:color w:val="000000" w:themeColor="text1"/>
        </w:rPr>
      </w:pPr>
    </w:p>
    <w:tbl>
      <w:tblPr>
        <w:tblStyle w:val="TableGrid"/>
        <w:tblW w:w="9199" w:type="dxa"/>
        <w:tblLook w:val="04A0" w:firstRow="1" w:lastRow="0" w:firstColumn="1" w:lastColumn="0" w:noHBand="0" w:noVBand="1"/>
      </w:tblPr>
      <w:tblGrid>
        <w:gridCol w:w="1103"/>
        <w:gridCol w:w="2160"/>
        <w:gridCol w:w="4519"/>
        <w:gridCol w:w="1417"/>
      </w:tblGrid>
      <w:tr w:rsidR="00E63513" w:rsidRPr="00E63513" w:rsidTr="002547DB">
        <w:trPr>
          <w:trHeight w:val="330"/>
        </w:trPr>
        <w:tc>
          <w:tcPr>
            <w:tcW w:w="9199" w:type="dxa"/>
            <w:gridSpan w:val="4"/>
            <w:tcBorders>
              <w:top w:val="nil"/>
              <w:left w:val="nil"/>
              <w:bottom w:val="single" w:sz="4" w:space="0" w:color="auto"/>
              <w:right w:val="nil"/>
            </w:tcBorders>
            <w:noWrap/>
            <w:hideMark/>
          </w:tcPr>
          <w:p w:rsidR="00DF502C" w:rsidRPr="00E63513" w:rsidRDefault="0068155F" w:rsidP="00E174F5">
            <w:pP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 xml:space="preserve">Table 2: </w:t>
            </w:r>
            <w:r w:rsidR="00DF502C" w:rsidRPr="00E63513">
              <w:rPr>
                <w:rFonts w:asciiTheme="majorBidi" w:eastAsia="Times New Roman" w:hAnsiTheme="majorBidi" w:cstheme="majorBidi"/>
                <w:b/>
                <w:bCs/>
                <w:color w:val="000000" w:themeColor="text1"/>
                <w:sz w:val="20"/>
                <w:szCs w:val="20"/>
              </w:rPr>
              <w:t>Variables definitions</w:t>
            </w:r>
          </w:p>
        </w:tc>
      </w:tr>
      <w:tr w:rsidR="00E63513" w:rsidRPr="00E63513" w:rsidTr="002547DB">
        <w:trPr>
          <w:trHeight w:val="60"/>
        </w:trPr>
        <w:tc>
          <w:tcPr>
            <w:tcW w:w="1103" w:type="dxa"/>
            <w:tcBorders>
              <w:top w:val="single" w:sz="4" w:space="0" w:color="auto"/>
              <w:left w:val="nil"/>
              <w:bottom w:val="single" w:sz="4" w:space="0" w:color="auto"/>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Symbol</w:t>
            </w:r>
          </w:p>
        </w:tc>
        <w:tc>
          <w:tcPr>
            <w:tcW w:w="2160" w:type="dxa"/>
            <w:tcBorders>
              <w:top w:val="single" w:sz="4" w:space="0" w:color="auto"/>
              <w:left w:val="nil"/>
              <w:bottom w:val="single" w:sz="4" w:space="0" w:color="auto"/>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Variable</w:t>
            </w:r>
          </w:p>
        </w:tc>
        <w:tc>
          <w:tcPr>
            <w:tcW w:w="4519" w:type="dxa"/>
            <w:tcBorders>
              <w:top w:val="single" w:sz="4" w:space="0" w:color="auto"/>
              <w:left w:val="nil"/>
              <w:bottom w:val="single" w:sz="4" w:space="0" w:color="auto"/>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Measurements</w:t>
            </w:r>
          </w:p>
        </w:tc>
        <w:tc>
          <w:tcPr>
            <w:tcW w:w="1417" w:type="dxa"/>
            <w:tcBorders>
              <w:top w:val="single" w:sz="4" w:space="0" w:color="auto"/>
              <w:left w:val="nil"/>
              <w:bottom w:val="single" w:sz="4" w:space="0" w:color="auto"/>
              <w:right w:val="nil"/>
            </w:tcBorders>
            <w:noWrap/>
            <w:hideMark/>
          </w:tcPr>
          <w:p w:rsidR="00DF502C" w:rsidRPr="00E63513" w:rsidRDefault="00DF502C" w:rsidP="00E174F5">
            <w:pPr>
              <w:jc w:val="both"/>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Expected Sign </w:t>
            </w:r>
          </w:p>
        </w:tc>
      </w:tr>
      <w:tr w:rsidR="00E63513" w:rsidRPr="00E63513" w:rsidTr="002547DB">
        <w:trPr>
          <w:trHeight w:val="375"/>
        </w:trPr>
        <w:tc>
          <w:tcPr>
            <w:tcW w:w="7782" w:type="dxa"/>
            <w:gridSpan w:val="3"/>
            <w:tcBorders>
              <w:top w:val="single" w:sz="4" w:space="0" w:color="auto"/>
              <w:left w:val="nil"/>
              <w:bottom w:val="nil"/>
              <w:right w:val="nil"/>
            </w:tcBorders>
            <w:noWrap/>
            <w:hideMark/>
          </w:tcPr>
          <w:p w:rsidR="00DF502C" w:rsidRPr="00E63513" w:rsidRDefault="00DF502C" w:rsidP="00E174F5">
            <w:pP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Dependent variable</w:t>
            </w:r>
          </w:p>
        </w:tc>
        <w:tc>
          <w:tcPr>
            <w:tcW w:w="1417" w:type="dxa"/>
            <w:tcBorders>
              <w:top w:val="single" w:sz="4" w:space="0" w:color="auto"/>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p>
        </w:tc>
      </w:tr>
      <w:tr w:rsidR="00E63513" w:rsidRPr="00E63513" w:rsidTr="002547DB">
        <w:trPr>
          <w:trHeight w:val="671"/>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 is the ratio of the market value of equity plus the book value of liabilities divided by the book value of assets</w:t>
            </w:r>
          </w:p>
        </w:tc>
        <w:tc>
          <w:tcPr>
            <w:tcW w:w="1417"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p>
        </w:tc>
      </w:tr>
      <w:tr w:rsidR="00E63513" w:rsidRPr="00E63513" w:rsidTr="002547DB">
        <w:trPr>
          <w:trHeight w:val="207"/>
        </w:trPr>
        <w:tc>
          <w:tcPr>
            <w:tcW w:w="1103" w:type="dxa"/>
            <w:tcBorders>
              <w:top w:val="nil"/>
              <w:left w:val="nil"/>
              <w:bottom w:val="nil"/>
              <w:right w:val="nil"/>
            </w:tcBorders>
            <w:noWrap/>
          </w:tcPr>
          <w:p w:rsidR="00DF502C" w:rsidRPr="00E63513" w:rsidRDefault="00074FC4"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 </w:t>
            </w:r>
            <w:r w:rsidR="00DF502C" w:rsidRPr="00E63513">
              <w:rPr>
                <w:rFonts w:asciiTheme="majorBidi" w:eastAsia="Times New Roman" w:hAnsiTheme="majorBidi" w:cstheme="majorBidi"/>
                <w:color w:val="000000" w:themeColor="text1"/>
                <w:sz w:val="20"/>
                <w:szCs w:val="20"/>
              </w:rPr>
              <w:t>MB</w:t>
            </w:r>
          </w:p>
        </w:tc>
        <w:tc>
          <w:tcPr>
            <w:tcW w:w="2160"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Market-to-book ratio</w:t>
            </w:r>
          </w:p>
        </w:tc>
        <w:tc>
          <w:tcPr>
            <w:tcW w:w="4519"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Market-to-book ratio is the ratio of the market value of equity divided by the book value of equity</w:t>
            </w:r>
          </w:p>
        </w:tc>
        <w:tc>
          <w:tcPr>
            <w:tcW w:w="1417"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p>
        </w:tc>
      </w:tr>
      <w:tr w:rsidR="00E63513" w:rsidRPr="00E63513" w:rsidTr="002547DB">
        <w:trPr>
          <w:trHeight w:val="111"/>
        </w:trPr>
        <w:tc>
          <w:tcPr>
            <w:tcW w:w="1103"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2160"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Return on equity </w:t>
            </w:r>
          </w:p>
        </w:tc>
        <w:tc>
          <w:tcPr>
            <w:tcW w:w="4519"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Net income / common equity</w:t>
            </w:r>
          </w:p>
        </w:tc>
        <w:tc>
          <w:tcPr>
            <w:tcW w:w="1417" w:type="dxa"/>
            <w:tcBorders>
              <w:top w:val="nil"/>
              <w:left w:val="nil"/>
              <w:bottom w:val="nil"/>
              <w:right w:val="nil"/>
            </w:tcBorders>
            <w:noWrap/>
          </w:tcPr>
          <w:p w:rsidR="00DF502C" w:rsidRPr="00E63513" w:rsidRDefault="00DF502C" w:rsidP="00E174F5">
            <w:pPr>
              <w:rPr>
                <w:rFonts w:asciiTheme="majorBidi" w:eastAsia="Times New Roman" w:hAnsiTheme="majorBidi" w:cstheme="majorBidi"/>
                <w:color w:val="000000" w:themeColor="text1"/>
                <w:sz w:val="20"/>
                <w:szCs w:val="20"/>
              </w:rPr>
            </w:pPr>
          </w:p>
        </w:tc>
      </w:tr>
      <w:tr w:rsidR="00E63513" w:rsidRPr="00E63513" w:rsidTr="002547DB">
        <w:trPr>
          <w:trHeight w:val="315"/>
        </w:trPr>
        <w:tc>
          <w:tcPr>
            <w:tcW w:w="7782" w:type="dxa"/>
            <w:gridSpan w:val="3"/>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Independent variables</w:t>
            </w:r>
          </w:p>
        </w:tc>
        <w:tc>
          <w:tcPr>
            <w:tcW w:w="1417"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p>
        </w:tc>
      </w:tr>
      <w:tr w:rsidR="00E63513" w:rsidRPr="00E63513" w:rsidTr="002547DB">
        <w:trPr>
          <w:trHeight w:val="143"/>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Capital adequacy ratio</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(Tire 1 capital + Tire 2 c</w:t>
            </w:r>
            <w:r w:rsidR="00DD58EE" w:rsidRPr="00E63513">
              <w:rPr>
                <w:rFonts w:asciiTheme="majorBidi" w:eastAsia="Times New Roman" w:hAnsiTheme="majorBidi" w:cstheme="majorBidi"/>
                <w:color w:val="000000" w:themeColor="text1"/>
                <w:sz w:val="20"/>
                <w:szCs w:val="20"/>
              </w:rPr>
              <w:t>apital) / r</w:t>
            </w:r>
            <w:r w:rsidRPr="00E63513">
              <w:rPr>
                <w:rFonts w:asciiTheme="majorBidi" w:eastAsia="Times New Roman" w:hAnsiTheme="majorBidi" w:cstheme="majorBidi"/>
                <w:color w:val="000000" w:themeColor="text1"/>
                <w:sz w:val="20"/>
                <w:szCs w:val="20"/>
              </w:rPr>
              <w:t>isk weighted assets</w:t>
            </w:r>
          </w:p>
        </w:tc>
        <w:tc>
          <w:tcPr>
            <w:tcW w:w="1417" w:type="dxa"/>
            <w:tcBorders>
              <w:top w:val="nil"/>
              <w:left w:val="nil"/>
              <w:bottom w:val="nil"/>
              <w:right w:val="nil"/>
            </w:tcBorders>
            <w:noWrap/>
            <w:hideMark/>
          </w:tcPr>
          <w:p w:rsidR="00DF502C" w:rsidRPr="00E63513" w:rsidRDefault="00DF502C"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r w:rsidR="00E63513" w:rsidRPr="00E63513" w:rsidTr="002547DB">
        <w:trPr>
          <w:trHeight w:val="157"/>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Assets quality</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Non-performing loan / total loan</w:t>
            </w:r>
          </w:p>
        </w:tc>
        <w:tc>
          <w:tcPr>
            <w:tcW w:w="1417" w:type="dxa"/>
            <w:tcBorders>
              <w:top w:val="nil"/>
              <w:left w:val="nil"/>
              <w:bottom w:val="nil"/>
              <w:right w:val="nil"/>
            </w:tcBorders>
            <w:noWrap/>
            <w:hideMark/>
          </w:tcPr>
          <w:p w:rsidR="00DF502C" w:rsidRPr="00E63513" w:rsidRDefault="00DF502C"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r w:rsidR="00E63513" w:rsidRPr="00E63513" w:rsidTr="002547DB">
        <w:trPr>
          <w:trHeight w:val="74"/>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Operational efficiency </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Total operating expenses/ total income</w:t>
            </w:r>
          </w:p>
        </w:tc>
        <w:tc>
          <w:tcPr>
            <w:tcW w:w="1417" w:type="dxa"/>
            <w:tcBorders>
              <w:top w:val="nil"/>
              <w:left w:val="nil"/>
              <w:bottom w:val="nil"/>
              <w:right w:val="nil"/>
            </w:tcBorders>
            <w:noWrap/>
            <w:hideMark/>
          </w:tcPr>
          <w:p w:rsidR="00DF502C" w:rsidRPr="00E63513" w:rsidRDefault="00DF502C"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r w:rsidR="00E63513" w:rsidRPr="00E63513" w:rsidTr="002547DB">
        <w:trPr>
          <w:trHeight w:val="197"/>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Liquidity risk 1 </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Net loans/ total deposits</w:t>
            </w:r>
          </w:p>
        </w:tc>
        <w:tc>
          <w:tcPr>
            <w:tcW w:w="1417" w:type="dxa"/>
            <w:tcBorders>
              <w:top w:val="nil"/>
              <w:left w:val="nil"/>
              <w:bottom w:val="nil"/>
              <w:right w:val="nil"/>
            </w:tcBorders>
            <w:noWrap/>
            <w:hideMark/>
          </w:tcPr>
          <w:p w:rsidR="00DF502C" w:rsidRPr="00E63513" w:rsidRDefault="00DF502C"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r w:rsidR="00E63513" w:rsidRPr="00E63513" w:rsidTr="002547DB">
        <w:trPr>
          <w:trHeight w:val="127"/>
        </w:trPr>
        <w:tc>
          <w:tcPr>
            <w:tcW w:w="1103"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2160"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Liquidity risk 2 </w:t>
            </w:r>
          </w:p>
        </w:tc>
        <w:tc>
          <w:tcPr>
            <w:tcW w:w="4519" w:type="dxa"/>
            <w:tcBorders>
              <w:top w:val="nil"/>
              <w:left w:val="nil"/>
              <w:bottom w:val="nil"/>
              <w:right w:val="nil"/>
            </w:tcBorders>
            <w:noWrap/>
            <w:hideMark/>
          </w:tcPr>
          <w:p w:rsidR="00DF502C" w:rsidRPr="00E63513" w:rsidRDefault="00DF502C"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Liquid assets  / total assets</w:t>
            </w:r>
          </w:p>
        </w:tc>
        <w:tc>
          <w:tcPr>
            <w:tcW w:w="1417" w:type="dxa"/>
            <w:tcBorders>
              <w:top w:val="nil"/>
              <w:left w:val="nil"/>
              <w:bottom w:val="nil"/>
              <w:right w:val="nil"/>
            </w:tcBorders>
            <w:noWrap/>
            <w:hideMark/>
          </w:tcPr>
          <w:p w:rsidR="00DF502C" w:rsidRPr="00E63513" w:rsidRDefault="00DF502C"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r w:rsidR="00DB33F9" w:rsidRPr="00E63513" w:rsidTr="002547DB">
        <w:trPr>
          <w:trHeight w:val="127"/>
        </w:trPr>
        <w:tc>
          <w:tcPr>
            <w:tcW w:w="1103" w:type="dxa"/>
            <w:tcBorders>
              <w:top w:val="nil"/>
              <w:left w:val="nil"/>
              <w:bottom w:val="single" w:sz="4" w:space="0" w:color="auto"/>
              <w:right w:val="nil"/>
            </w:tcBorders>
            <w:noWrap/>
          </w:tcPr>
          <w:p w:rsidR="00DB33F9" w:rsidRPr="00E63513" w:rsidRDefault="00DB33F9"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2160" w:type="dxa"/>
            <w:tcBorders>
              <w:top w:val="nil"/>
              <w:left w:val="nil"/>
              <w:bottom w:val="single" w:sz="4" w:space="0" w:color="auto"/>
              <w:right w:val="nil"/>
            </w:tcBorders>
            <w:noWrap/>
          </w:tcPr>
          <w:p w:rsidR="00DB33F9" w:rsidRPr="00E63513" w:rsidRDefault="00DB33F9"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Bank size</w:t>
            </w:r>
          </w:p>
        </w:tc>
        <w:tc>
          <w:tcPr>
            <w:tcW w:w="4519" w:type="dxa"/>
            <w:tcBorders>
              <w:top w:val="nil"/>
              <w:left w:val="nil"/>
              <w:bottom w:val="single" w:sz="4" w:space="0" w:color="auto"/>
              <w:right w:val="nil"/>
            </w:tcBorders>
            <w:noWrap/>
          </w:tcPr>
          <w:p w:rsidR="00DB33F9" w:rsidRPr="00E63513" w:rsidRDefault="00DB33F9" w:rsidP="00E174F5">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Logarithm of total assets</w:t>
            </w:r>
          </w:p>
        </w:tc>
        <w:tc>
          <w:tcPr>
            <w:tcW w:w="1417" w:type="dxa"/>
            <w:tcBorders>
              <w:top w:val="nil"/>
              <w:left w:val="nil"/>
              <w:bottom w:val="single" w:sz="4" w:space="0" w:color="auto"/>
              <w:right w:val="nil"/>
            </w:tcBorders>
            <w:noWrap/>
          </w:tcPr>
          <w:p w:rsidR="00DB33F9" w:rsidRPr="00E63513" w:rsidRDefault="00DB33F9" w:rsidP="00E174F5">
            <w:pPr>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w:t>
            </w:r>
          </w:p>
        </w:tc>
      </w:tr>
    </w:tbl>
    <w:p w:rsidR="00DF502C" w:rsidRPr="00E63513" w:rsidRDefault="00DF502C" w:rsidP="00E174F5">
      <w:pPr>
        <w:spacing w:after="0" w:line="240" w:lineRule="auto"/>
        <w:jc w:val="both"/>
        <w:rPr>
          <w:rFonts w:asciiTheme="majorBidi" w:hAnsiTheme="majorBidi" w:cstheme="majorBidi"/>
          <w:b/>
          <w:bCs/>
          <w:color w:val="000000" w:themeColor="text1"/>
        </w:rPr>
      </w:pPr>
    </w:p>
    <w:p w:rsidR="00CA71F0" w:rsidRPr="00E63513" w:rsidRDefault="00CA71F0" w:rsidP="00E174F5">
      <w:pPr>
        <w:spacing w:after="0" w:line="240" w:lineRule="auto"/>
        <w:jc w:val="both"/>
        <w:rPr>
          <w:rFonts w:asciiTheme="majorBidi" w:hAnsiTheme="majorBidi" w:cstheme="majorBidi"/>
          <w:b/>
          <w:bCs/>
          <w:color w:val="000000" w:themeColor="text1"/>
        </w:rPr>
      </w:pPr>
    </w:p>
    <w:p w:rsidR="00CA71F0" w:rsidRPr="00E63513" w:rsidRDefault="00CA71F0" w:rsidP="00E174F5">
      <w:pPr>
        <w:spacing w:after="0" w:line="240" w:lineRule="auto"/>
        <w:jc w:val="both"/>
        <w:rPr>
          <w:rFonts w:asciiTheme="majorBidi" w:hAnsiTheme="majorBidi" w:cstheme="majorBidi"/>
          <w:b/>
          <w:bCs/>
          <w:color w:val="000000" w:themeColor="text1"/>
        </w:rPr>
      </w:pPr>
    </w:p>
    <w:p w:rsidR="00CA71F0" w:rsidRPr="00E63513" w:rsidRDefault="00CA71F0" w:rsidP="00E174F5">
      <w:pPr>
        <w:spacing w:after="0" w:line="240" w:lineRule="auto"/>
        <w:jc w:val="both"/>
        <w:rPr>
          <w:rFonts w:asciiTheme="majorBidi" w:hAnsiTheme="majorBidi" w:cstheme="majorBidi"/>
          <w:b/>
          <w:bCs/>
          <w:color w:val="000000" w:themeColor="text1"/>
        </w:rPr>
      </w:pPr>
    </w:p>
    <w:p w:rsidR="00097D57" w:rsidRPr="00E63513" w:rsidRDefault="00097D57" w:rsidP="00E174F5">
      <w:pPr>
        <w:spacing w:after="0" w:line="240" w:lineRule="auto"/>
        <w:jc w:val="both"/>
        <w:rPr>
          <w:rFonts w:asciiTheme="majorBidi" w:hAnsiTheme="majorBidi" w:cstheme="majorBidi"/>
          <w:b/>
          <w:bCs/>
          <w:color w:val="000000" w:themeColor="text1"/>
        </w:rPr>
      </w:pPr>
    </w:p>
    <w:p w:rsidR="002428B0" w:rsidRPr="00E63513" w:rsidRDefault="000362CC" w:rsidP="00F874B7">
      <w:pPr>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lastRenderedPageBreak/>
        <w:t>4.</w:t>
      </w:r>
      <w:r w:rsidR="0006220A" w:rsidRPr="00E63513">
        <w:rPr>
          <w:rFonts w:asciiTheme="majorBidi" w:hAnsiTheme="majorBidi" w:cstheme="majorBidi"/>
          <w:b/>
          <w:bCs/>
          <w:color w:val="000000" w:themeColor="text1"/>
        </w:rPr>
        <w:t xml:space="preserve"> </w:t>
      </w:r>
      <w:r w:rsidR="00F874B7" w:rsidRPr="00E63513">
        <w:rPr>
          <w:rFonts w:asciiTheme="majorBidi" w:hAnsiTheme="majorBidi" w:cstheme="majorBidi"/>
          <w:b/>
          <w:bCs/>
          <w:color w:val="000000" w:themeColor="text1"/>
        </w:rPr>
        <w:t>Findings and Discussion</w:t>
      </w:r>
    </w:p>
    <w:p w:rsidR="00251CA8" w:rsidRPr="00E63513" w:rsidRDefault="00251CA8" w:rsidP="00E174F5">
      <w:pPr>
        <w:spacing w:after="0" w:line="240" w:lineRule="auto"/>
        <w:jc w:val="both"/>
        <w:rPr>
          <w:rFonts w:asciiTheme="majorBidi" w:hAnsiTheme="majorBidi" w:cstheme="majorBidi"/>
          <w:b/>
          <w:bCs/>
          <w:color w:val="000000" w:themeColor="text1"/>
        </w:rPr>
      </w:pPr>
    </w:p>
    <w:p w:rsidR="000D73B4" w:rsidRPr="00E63513" w:rsidRDefault="0006220A" w:rsidP="00E174F5">
      <w:pPr>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4.1. Descriptive</w:t>
      </w:r>
      <w:r w:rsidR="00C076B7" w:rsidRPr="00E63513">
        <w:rPr>
          <w:rFonts w:asciiTheme="majorBidi" w:hAnsiTheme="majorBidi" w:cstheme="majorBidi"/>
          <w:b/>
          <w:bCs/>
          <w:color w:val="000000" w:themeColor="text1"/>
        </w:rPr>
        <w:t xml:space="preserve"> </w:t>
      </w:r>
      <w:r w:rsidRPr="00E63513">
        <w:rPr>
          <w:rFonts w:asciiTheme="majorBidi" w:hAnsiTheme="majorBidi" w:cstheme="majorBidi"/>
          <w:b/>
          <w:bCs/>
          <w:color w:val="000000" w:themeColor="text1"/>
        </w:rPr>
        <w:t>A</w:t>
      </w:r>
      <w:r w:rsidR="00C076B7" w:rsidRPr="00E63513">
        <w:rPr>
          <w:rFonts w:asciiTheme="majorBidi" w:hAnsiTheme="majorBidi" w:cstheme="majorBidi"/>
          <w:b/>
          <w:bCs/>
          <w:color w:val="000000" w:themeColor="text1"/>
        </w:rPr>
        <w:t xml:space="preserve">nalysis </w:t>
      </w:r>
    </w:p>
    <w:p w:rsidR="00A15D1C" w:rsidRPr="00E63513" w:rsidRDefault="00A15D1C" w:rsidP="00E174F5">
      <w:pPr>
        <w:spacing w:after="0" w:line="240" w:lineRule="auto"/>
        <w:jc w:val="both"/>
        <w:rPr>
          <w:rFonts w:asciiTheme="majorBidi" w:hAnsiTheme="majorBidi" w:cstheme="majorBidi"/>
          <w:b/>
          <w:bCs/>
          <w:color w:val="000000" w:themeColor="text1"/>
        </w:rPr>
      </w:pPr>
    </w:p>
    <w:p w:rsidR="000D73B4" w:rsidRPr="00E63513" w:rsidRDefault="00C76B3E" w:rsidP="00DD040E">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Table 3 shows a summary of the descriptive statistics for the dependent and independent variables for both conventional and Islamic banks in Saudi Arabia. </w:t>
      </w:r>
      <w:r w:rsidR="00DD040E" w:rsidRPr="00E63513">
        <w:rPr>
          <w:rFonts w:asciiTheme="majorBidi" w:hAnsiTheme="majorBidi" w:cstheme="majorBidi"/>
          <w:color w:val="000000" w:themeColor="text1"/>
        </w:rPr>
        <w:t>Table 3 reflects that</w:t>
      </w:r>
      <w:r w:rsidRPr="00E63513">
        <w:rPr>
          <w:rFonts w:asciiTheme="majorBidi" w:hAnsiTheme="majorBidi" w:cstheme="majorBidi"/>
          <w:color w:val="000000" w:themeColor="text1"/>
        </w:rPr>
        <w:t xml:space="preserve"> the average of Tobin’s Q, MB</w:t>
      </w:r>
      <w:r w:rsidR="005B4774" w:rsidRPr="00E63513">
        <w:rPr>
          <w:rFonts w:asciiTheme="majorBidi" w:hAnsiTheme="majorBidi" w:cstheme="majorBidi"/>
          <w:color w:val="000000" w:themeColor="text1"/>
        </w:rPr>
        <w:t>,</w:t>
      </w:r>
      <w:r w:rsidRPr="00E63513">
        <w:rPr>
          <w:rFonts w:asciiTheme="majorBidi" w:hAnsiTheme="majorBidi" w:cstheme="majorBidi"/>
          <w:color w:val="000000" w:themeColor="text1"/>
        </w:rPr>
        <w:t xml:space="preserve"> and ROE for conventional banks </w:t>
      </w:r>
      <w:r w:rsidR="00B677FD" w:rsidRPr="00E63513">
        <w:rPr>
          <w:rFonts w:asciiTheme="majorBidi" w:hAnsiTheme="majorBidi" w:cstheme="majorBidi"/>
          <w:color w:val="000000" w:themeColor="text1"/>
        </w:rPr>
        <w:t xml:space="preserve">are </w:t>
      </w:r>
      <w:r w:rsidRPr="00E63513">
        <w:rPr>
          <w:rFonts w:asciiTheme="majorBidi" w:hAnsiTheme="majorBidi" w:cstheme="majorBidi"/>
          <w:color w:val="000000" w:themeColor="text1"/>
        </w:rPr>
        <w:t xml:space="preserve">1.23, 0.46 and 17.81 compared to 1.51, 0.77 and 12.89 for Islamic banks respectively, indicating that Islamic banks on average have higher </w:t>
      </w:r>
      <w:r w:rsidR="00437D35" w:rsidRPr="00E63513">
        <w:rPr>
          <w:rFonts w:asciiTheme="majorBidi" w:hAnsiTheme="majorBidi" w:cstheme="majorBidi"/>
          <w:color w:val="000000" w:themeColor="text1"/>
        </w:rPr>
        <w:t xml:space="preserve">market-based </w:t>
      </w:r>
      <w:r w:rsidR="00CE6082" w:rsidRPr="00E63513">
        <w:rPr>
          <w:rFonts w:asciiTheme="majorBidi" w:hAnsiTheme="majorBidi" w:cstheme="majorBidi"/>
          <w:color w:val="000000" w:themeColor="text1"/>
        </w:rPr>
        <w:t>shareholders’ value</w:t>
      </w:r>
      <w:r w:rsidR="00437D35" w:rsidRPr="00E63513">
        <w:rPr>
          <w:rFonts w:asciiTheme="majorBidi" w:hAnsiTheme="majorBidi" w:cstheme="majorBidi"/>
          <w:color w:val="000000" w:themeColor="text1"/>
        </w:rPr>
        <w:t xml:space="preserve"> </w:t>
      </w:r>
      <w:r w:rsidRPr="00E63513">
        <w:rPr>
          <w:rFonts w:asciiTheme="majorBidi" w:hAnsiTheme="majorBidi" w:cstheme="majorBidi"/>
          <w:color w:val="000000" w:themeColor="text1"/>
        </w:rPr>
        <w:t>than conventional banks.</w:t>
      </w:r>
    </w:p>
    <w:p w:rsidR="000C42FC" w:rsidRPr="00E63513" w:rsidRDefault="000C42FC" w:rsidP="000C42FC">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Furthermore, on average, Islamic banks show a higher ratio of AQ (3.74%), OE (53.37%), LIQR1 (80.41%) and LIQR2 (24.20%) compared to the conventional banks. It is also, however, apparent that the Islamic Banks in the country are more active in their lending activities (higher LIQ-1), have lower asset quality, have much higher operating expenses but have better liquidity. However, Islamic banks size (16.19%) is a bit smaller than conventional banks (16.90%) during the period under reference.</w:t>
      </w:r>
    </w:p>
    <w:p w:rsidR="000C42FC" w:rsidRPr="00E63513" w:rsidRDefault="000C42FC" w:rsidP="00DD040E">
      <w:pPr>
        <w:spacing w:after="0" w:line="240" w:lineRule="auto"/>
        <w:ind w:firstLine="720"/>
        <w:jc w:val="both"/>
        <w:rPr>
          <w:rFonts w:asciiTheme="majorBidi" w:hAnsiTheme="majorBidi" w:cstheme="majorBidi"/>
          <w:color w:val="000000" w:themeColor="text1"/>
        </w:rPr>
      </w:pPr>
    </w:p>
    <w:p w:rsidR="00C76B3E" w:rsidRPr="00E63513" w:rsidRDefault="00C76B3E" w:rsidP="00E174F5">
      <w:pPr>
        <w:spacing w:after="0" w:line="240" w:lineRule="auto"/>
        <w:jc w:val="both"/>
        <w:rPr>
          <w:rFonts w:asciiTheme="majorBidi" w:hAnsiTheme="majorBidi" w:cstheme="majorBidi"/>
          <w:b/>
          <w:bCs/>
          <w:color w:val="000000" w:themeColor="text1"/>
        </w:rPr>
      </w:pPr>
    </w:p>
    <w:tbl>
      <w:tblPr>
        <w:tblW w:w="8861" w:type="dxa"/>
        <w:tblInd w:w="93" w:type="dxa"/>
        <w:tblLook w:val="04A0" w:firstRow="1" w:lastRow="0" w:firstColumn="1" w:lastColumn="0" w:noHBand="0" w:noVBand="1"/>
      </w:tblPr>
      <w:tblGrid>
        <w:gridCol w:w="1279"/>
        <w:gridCol w:w="866"/>
        <w:gridCol w:w="876"/>
        <w:gridCol w:w="866"/>
        <w:gridCol w:w="1066"/>
        <w:gridCol w:w="277"/>
        <w:gridCol w:w="866"/>
        <w:gridCol w:w="833"/>
        <w:gridCol w:w="866"/>
        <w:gridCol w:w="1066"/>
      </w:tblGrid>
      <w:tr w:rsidR="00E63513" w:rsidRPr="00E63513" w:rsidTr="0068155F">
        <w:trPr>
          <w:trHeight w:val="315"/>
        </w:trPr>
        <w:tc>
          <w:tcPr>
            <w:tcW w:w="8861" w:type="dxa"/>
            <w:gridSpan w:val="10"/>
            <w:tcBorders>
              <w:left w:val="nil"/>
              <w:bottom w:val="nil"/>
              <w:right w:val="nil"/>
            </w:tcBorders>
            <w:shd w:val="clear" w:color="auto" w:fill="auto"/>
            <w:vAlign w:val="center"/>
          </w:tcPr>
          <w:p w:rsidR="0068155F" w:rsidRPr="00E63513" w:rsidRDefault="0068155F" w:rsidP="00E174F5">
            <w:pPr>
              <w:spacing w:after="0" w:line="240" w:lineRule="auto"/>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Table 3:Descriptive statistics</w:t>
            </w:r>
          </w:p>
        </w:tc>
      </w:tr>
      <w:tr w:rsidR="00E63513" w:rsidRPr="00E63513" w:rsidTr="0006220A">
        <w:trPr>
          <w:trHeight w:val="315"/>
        </w:trPr>
        <w:tc>
          <w:tcPr>
            <w:tcW w:w="1279" w:type="dxa"/>
            <w:tcBorders>
              <w:top w:val="single" w:sz="4" w:space="0" w:color="auto"/>
              <w:left w:val="nil"/>
              <w:bottom w:val="nil"/>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Variable</w:t>
            </w:r>
          </w:p>
        </w:tc>
        <w:tc>
          <w:tcPr>
            <w:tcW w:w="3674" w:type="dxa"/>
            <w:gridSpan w:val="4"/>
            <w:tcBorders>
              <w:top w:val="single" w:sz="4" w:space="0" w:color="auto"/>
              <w:left w:val="nil"/>
              <w:bottom w:val="nil"/>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Conventional Banks (N=1 – 120)</w:t>
            </w:r>
          </w:p>
        </w:tc>
        <w:tc>
          <w:tcPr>
            <w:tcW w:w="277" w:type="dxa"/>
            <w:tcBorders>
              <w:top w:val="single" w:sz="4" w:space="0" w:color="auto"/>
              <w:left w:val="nil"/>
              <w:bottom w:val="nil"/>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3631" w:type="dxa"/>
            <w:gridSpan w:val="4"/>
            <w:tcBorders>
              <w:top w:val="single" w:sz="4" w:space="0" w:color="auto"/>
              <w:left w:val="nil"/>
              <w:bottom w:val="nil"/>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Islamic Banks (N=1 – 64)</w:t>
            </w:r>
          </w:p>
        </w:tc>
      </w:tr>
      <w:tr w:rsidR="00E63513" w:rsidRPr="00E63513" w:rsidTr="0068155F">
        <w:trPr>
          <w:trHeight w:val="60"/>
        </w:trPr>
        <w:tc>
          <w:tcPr>
            <w:tcW w:w="1279" w:type="dxa"/>
            <w:tcBorders>
              <w:top w:val="nil"/>
              <w:left w:val="nil"/>
              <w:bottom w:val="single" w:sz="4" w:space="0" w:color="auto"/>
              <w:right w:val="nil"/>
            </w:tcBorders>
            <w:shd w:val="clear" w:color="auto" w:fill="auto"/>
            <w:noWrap/>
            <w:vAlign w:val="bottom"/>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Mean</w:t>
            </w:r>
          </w:p>
        </w:tc>
        <w:tc>
          <w:tcPr>
            <w:tcW w:w="87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Min</w:t>
            </w:r>
          </w:p>
        </w:tc>
        <w:tc>
          <w:tcPr>
            <w:tcW w:w="8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Max</w:t>
            </w:r>
          </w:p>
        </w:tc>
        <w:tc>
          <w:tcPr>
            <w:tcW w:w="10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Std. Dev.</w:t>
            </w:r>
          </w:p>
        </w:tc>
        <w:tc>
          <w:tcPr>
            <w:tcW w:w="277" w:type="dxa"/>
            <w:tcBorders>
              <w:top w:val="nil"/>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Mean</w:t>
            </w:r>
          </w:p>
        </w:tc>
        <w:tc>
          <w:tcPr>
            <w:tcW w:w="833"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Min</w:t>
            </w:r>
          </w:p>
        </w:tc>
        <w:tc>
          <w:tcPr>
            <w:tcW w:w="8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Max</w:t>
            </w:r>
          </w:p>
        </w:tc>
        <w:tc>
          <w:tcPr>
            <w:tcW w:w="1066" w:type="dxa"/>
            <w:tcBorders>
              <w:top w:val="single" w:sz="4" w:space="0" w:color="auto"/>
              <w:left w:val="nil"/>
              <w:bottom w:val="single" w:sz="4" w:space="0" w:color="auto"/>
              <w:right w:val="nil"/>
            </w:tcBorders>
            <w:shd w:val="clear" w:color="auto" w:fill="auto"/>
            <w:vAlign w:val="center"/>
            <w:hideMark/>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Std. Dev.</w:t>
            </w:r>
          </w:p>
        </w:tc>
      </w:tr>
      <w:tr w:rsidR="00E63513" w:rsidRPr="00E63513" w:rsidTr="0068155F">
        <w:trPr>
          <w:trHeight w:val="136"/>
        </w:trPr>
        <w:tc>
          <w:tcPr>
            <w:tcW w:w="1279" w:type="dxa"/>
            <w:tcBorders>
              <w:top w:val="single" w:sz="4" w:space="0" w:color="auto"/>
            </w:tcBorders>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8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1.23</w:t>
            </w:r>
          </w:p>
        </w:tc>
        <w:tc>
          <w:tcPr>
            <w:tcW w:w="87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0.99</w:t>
            </w:r>
          </w:p>
        </w:tc>
        <w:tc>
          <w:tcPr>
            <w:tcW w:w="8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2.14</w:t>
            </w:r>
          </w:p>
        </w:tc>
        <w:tc>
          <w:tcPr>
            <w:tcW w:w="10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0.25</w:t>
            </w:r>
          </w:p>
        </w:tc>
        <w:tc>
          <w:tcPr>
            <w:tcW w:w="277"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1.51</w:t>
            </w:r>
          </w:p>
        </w:tc>
        <w:tc>
          <w:tcPr>
            <w:tcW w:w="833"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0.95</w:t>
            </w:r>
          </w:p>
        </w:tc>
        <w:tc>
          <w:tcPr>
            <w:tcW w:w="8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7.76</w:t>
            </w:r>
          </w:p>
        </w:tc>
        <w:tc>
          <w:tcPr>
            <w:tcW w:w="1066" w:type="dxa"/>
            <w:tcBorders>
              <w:top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1.09</w:t>
            </w:r>
          </w:p>
        </w:tc>
      </w:tr>
      <w:tr w:rsidR="00E63513" w:rsidRPr="00E63513" w:rsidTr="00C76B3E">
        <w:trPr>
          <w:trHeight w:val="60"/>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0.46</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0.18</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1.35</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0.26</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0.77</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0.16</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7.17</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1.10</w:t>
            </w:r>
          </w:p>
        </w:tc>
      </w:tr>
      <w:tr w:rsidR="00E63513" w:rsidRPr="00E63513" w:rsidTr="00C76B3E">
        <w:trPr>
          <w:trHeight w:val="60"/>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17.81</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1.53</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34.06</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6.65</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12.89</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-8.27</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46.41</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11.59</w:t>
            </w:r>
          </w:p>
        </w:tc>
      </w:tr>
      <w:tr w:rsidR="00E63513" w:rsidRPr="00E63513" w:rsidTr="00C76B3E">
        <w:trPr>
          <w:trHeight w:val="167"/>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12.45</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7.85</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17.90</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2.40</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21.68</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9.25</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98.93</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18.11</w:t>
            </w:r>
          </w:p>
        </w:tc>
      </w:tr>
      <w:tr w:rsidR="00E63513" w:rsidRPr="00E63513" w:rsidTr="00C76B3E">
        <w:trPr>
          <w:trHeight w:val="185"/>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2.56</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0.24</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11.78</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2.27</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3.74</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27.46</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5.72</w:t>
            </w:r>
          </w:p>
        </w:tc>
      </w:tr>
      <w:tr w:rsidR="00E63513" w:rsidRPr="00E63513" w:rsidTr="00C76B3E">
        <w:trPr>
          <w:trHeight w:val="80"/>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34.77</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17.74</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53.12</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6.27</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53.37</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20.15</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160.00</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25.68</w:t>
            </w:r>
          </w:p>
        </w:tc>
      </w:tr>
      <w:tr w:rsidR="00E63513" w:rsidRPr="00E63513" w:rsidTr="00C76B3E">
        <w:trPr>
          <w:trHeight w:val="227"/>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66.63</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37.56</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86.14</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12.88</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80.41</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44.68</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147.53</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22.35</w:t>
            </w:r>
          </w:p>
        </w:tc>
      </w:tr>
      <w:tr w:rsidR="00E63513" w:rsidRPr="00E63513" w:rsidTr="00C76B3E">
        <w:trPr>
          <w:trHeight w:val="60"/>
        </w:trPr>
        <w:tc>
          <w:tcPr>
            <w:tcW w:w="1279" w:type="dxa"/>
            <w:shd w:val="clear" w:color="auto" w:fill="auto"/>
            <w:vAlign w:val="center"/>
            <w:hideMark/>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20.11</w:t>
            </w:r>
          </w:p>
        </w:tc>
        <w:tc>
          <w:tcPr>
            <w:tcW w:w="87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3.61</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63.43</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17.47</w:t>
            </w:r>
          </w:p>
        </w:tc>
        <w:tc>
          <w:tcPr>
            <w:tcW w:w="277"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24.20</w:t>
            </w:r>
          </w:p>
        </w:tc>
        <w:tc>
          <w:tcPr>
            <w:tcW w:w="833"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0.03</w:t>
            </w:r>
          </w:p>
        </w:tc>
        <w:tc>
          <w:tcPr>
            <w:tcW w:w="8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81.68</w:t>
            </w:r>
          </w:p>
        </w:tc>
        <w:tc>
          <w:tcPr>
            <w:tcW w:w="1066" w:type="dxa"/>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14.74</w:t>
            </w:r>
          </w:p>
        </w:tc>
      </w:tr>
      <w:tr w:rsidR="00E63513" w:rsidRPr="00E63513" w:rsidTr="00C76B3E">
        <w:trPr>
          <w:trHeight w:val="78"/>
        </w:trPr>
        <w:tc>
          <w:tcPr>
            <w:tcW w:w="1279" w:type="dxa"/>
            <w:tcBorders>
              <w:bottom w:val="single" w:sz="4" w:space="0" w:color="auto"/>
            </w:tcBorders>
            <w:shd w:val="clear" w:color="auto" w:fill="auto"/>
            <w:vAlign w:val="center"/>
          </w:tcPr>
          <w:p w:rsidR="0036668C" w:rsidRPr="00E63513" w:rsidRDefault="0036668C"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8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16.90</w:t>
            </w:r>
          </w:p>
        </w:tc>
        <w:tc>
          <w:tcPr>
            <w:tcW w:w="87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15.11</w:t>
            </w:r>
          </w:p>
        </w:tc>
        <w:tc>
          <w:tcPr>
            <w:tcW w:w="8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17.95</w:t>
            </w:r>
          </w:p>
        </w:tc>
        <w:tc>
          <w:tcPr>
            <w:tcW w:w="10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0.66</w:t>
            </w:r>
          </w:p>
        </w:tc>
        <w:tc>
          <w:tcPr>
            <w:tcW w:w="277"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p>
        </w:tc>
        <w:tc>
          <w:tcPr>
            <w:tcW w:w="8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16.19</w:t>
            </w:r>
          </w:p>
        </w:tc>
        <w:tc>
          <w:tcPr>
            <w:tcW w:w="833"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14.13</w:t>
            </w:r>
          </w:p>
        </w:tc>
        <w:tc>
          <w:tcPr>
            <w:tcW w:w="8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18.25</w:t>
            </w:r>
          </w:p>
        </w:tc>
        <w:tc>
          <w:tcPr>
            <w:tcW w:w="1066" w:type="dxa"/>
            <w:tcBorders>
              <w:bottom w:val="single" w:sz="4" w:space="0" w:color="auto"/>
            </w:tcBorders>
            <w:shd w:val="clear" w:color="auto" w:fill="auto"/>
            <w:vAlign w:val="center"/>
          </w:tcPr>
          <w:p w:rsidR="0036668C" w:rsidRPr="00E63513" w:rsidRDefault="0036668C"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1.13</w:t>
            </w:r>
          </w:p>
        </w:tc>
      </w:tr>
    </w:tbl>
    <w:p w:rsidR="0036668C" w:rsidRPr="00E63513" w:rsidRDefault="0036668C" w:rsidP="00E174F5">
      <w:pPr>
        <w:spacing w:after="0" w:line="240" w:lineRule="auto"/>
        <w:rPr>
          <w:rFonts w:asciiTheme="majorBidi" w:hAnsiTheme="majorBidi" w:cstheme="majorBidi"/>
          <w:b/>
          <w:bCs/>
          <w:color w:val="000000" w:themeColor="text1"/>
        </w:rPr>
      </w:pPr>
    </w:p>
    <w:p w:rsidR="00575425" w:rsidRPr="00E63513" w:rsidRDefault="00575425" w:rsidP="007C6E52">
      <w:pPr>
        <w:spacing w:after="0" w:line="240" w:lineRule="auto"/>
        <w:jc w:val="both"/>
        <w:rPr>
          <w:rFonts w:asciiTheme="majorBidi" w:hAnsiTheme="majorBidi" w:cstheme="majorBidi"/>
          <w:color w:val="000000" w:themeColor="text1"/>
        </w:rPr>
      </w:pPr>
    </w:p>
    <w:p w:rsidR="00251CA8" w:rsidRPr="00E63513" w:rsidRDefault="0078679E" w:rsidP="00E174F5">
      <w:pPr>
        <w:spacing w:after="0" w:line="240" w:lineRule="auto"/>
        <w:jc w:val="both"/>
        <w:rPr>
          <w:rFonts w:asciiTheme="majorBidi" w:hAnsiTheme="majorBidi" w:cstheme="majorBidi"/>
          <w:b/>
          <w:bCs/>
          <w:color w:val="000000" w:themeColor="text1"/>
        </w:rPr>
      </w:pPr>
      <w:r w:rsidRPr="00E63513">
        <w:rPr>
          <w:rFonts w:asciiTheme="majorBidi" w:hAnsiTheme="majorBidi" w:cstheme="majorBidi"/>
          <w:b/>
          <w:bCs/>
          <w:color w:val="000000" w:themeColor="text1"/>
        </w:rPr>
        <w:t xml:space="preserve">4.2. </w:t>
      </w:r>
      <w:r w:rsidR="003273C4" w:rsidRPr="00E63513">
        <w:rPr>
          <w:rFonts w:asciiTheme="majorBidi" w:hAnsiTheme="majorBidi" w:cstheme="majorBidi"/>
          <w:b/>
          <w:bCs/>
          <w:color w:val="000000" w:themeColor="text1"/>
        </w:rPr>
        <w:t>C</w:t>
      </w:r>
      <w:r w:rsidR="00C6147D" w:rsidRPr="00E63513">
        <w:rPr>
          <w:rFonts w:asciiTheme="majorBidi" w:hAnsiTheme="majorBidi" w:cstheme="majorBidi"/>
          <w:b/>
          <w:bCs/>
          <w:color w:val="000000" w:themeColor="text1"/>
        </w:rPr>
        <w:t>orrelation</w:t>
      </w:r>
      <w:r w:rsidR="003273C4" w:rsidRPr="00E63513">
        <w:rPr>
          <w:rFonts w:asciiTheme="majorBidi" w:hAnsiTheme="majorBidi" w:cstheme="majorBidi"/>
          <w:b/>
          <w:bCs/>
          <w:color w:val="000000" w:themeColor="text1"/>
        </w:rPr>
        <w:t xml:space="preserve"> Analysis </w:t>
      </w:r>
    </w:p>
    <w:p w:rsidR="0078679E" w:rsidRPr="00E63513" w:rsidRDefault="0078679E" w:rsidP="00E174F5">
      <w:pPr>
        <w:spacing w:after="0" w:line="240" w:lineRule="auto"/>
        <w:jc w:val="both"/>
        <w:rPr>
          <w:rFonts w:asciiTheme="majorBidi" w:hAnsiTheme="majorBidi" w:cstheme="majorBidi"/>
          <w:b/>
          <w:bCs/>
          <w:color w:val="000000" w:themeColor="text1"/>
        </w:rPr>
      </w:pPr>
    </w:p>
    <w:p w:rsidR="000D73B4" w:rsidRPr="00E63513" w:rsidRDefault="0088546B" w:rsidP="0088546B">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 xml:space="preserve">As presented in </w:t>
      </w:r>
      <w:r w:rsidR="00C05AF2" w:rsidRPr="00E63513">
        <w:rPr>
          <w:rFonts w:asciiTheme="majorBidi" w:hAnsiTheme="majorBidi" w:cstheme="majorBidi"/>
          <w:color w:val="000000" w:themeColor="text1"/>
        </w:rPr>
        <w:t>Table</w:t>
      </w:r>
      <w:r w:rsidR="00811D07" w:rsidRPr="00E63513">
        <w:rPr>
          <w:rFonts w:asciiTheme="majorBidi" w:hAnsiTheme="majorBidi" w:cstheme="majorBidi"/>
          <w:color w:val="000000" w:themeColor="text1"/>
        </w:rPr>
        <w:t>s</w:t>
      </w:r>
      <w:r w:rsidR="00094912" w:rsidRPr="00E63513">
        <w:rPr>
          <w:rFonts w:asciiTheme="majorBidi" w:hAnsiTheme="majorBidi" w:cstheme="majorBidi"/>
          <w:color w:val="000000" w:themeColor="text1"/>
        </w:rPr>
        <w:t xml:space="preserve"> 4</w:t>
      </w:r>
      <w:r w:rsidR="00811D07" w:rsidRPr="00E63513">
        <w:rPr>
          <w:rFonts w:asciiTheme="majorBidi" w:hAnsiTheme="majorBidi" w:cstheme="majorBidi"/>
          <w:color w:val="000000" w:themeColor="text1"/>
        </w:rPr>
        <w:t xml:space="preserve"> and 5</w:t>
      </w:r>
      <w:r w:rsidRPr="00E63513">
        <w:rPr>
          <w:rFonts w:asciiTheme="majorBidi" w:hAnsiTheme="majorBidi" w:cstheme="majorBidi"/>
          <w:color w:val="000000" w:themeColor="text1"/>
        </w:rPr>
        <w:t xml:space="preserve">, </w:t>
      </w:r>
      <w:r w:rsidR="00C05AF2" w:rsidRPr="00E63513">
        <w:rPr>
          <w:rFonts w:asciiTheme="majorBidi" w:hAnsiTheme="majorBidi" w:cstheme="majorBidi"/>
          <w:color w:val="000000" w:themeColor="text1"/>
        </w:rPr>
        <w:t xml:space="preserve">the </w:t>
      </w:r>
      <w:r w:rsidR="00D90619" w:rsidRPr="00E63513">
        <w:rPr>
          <w:rFonts w:asciiTheme="majorBidi" w:hAnsiTheme="majorBidi" w:cstheme="majorBidi"/>
          <w:color w:val="000000" w:themeColor="text1"/>
        </w:rPr>
        <w:t>correlation between the independent variables for both conventional and Islamic bank is</w:t>
      </w:r>
      <w:r w:rsidR="00C05AF2" w:rsidRPr="00E63513">
        <w:rPr>
          <w:rFonts w:asciiTheme="majorBidi" w:hAnsiTheme="majorBidi" w:cstheme="majorBidi"/>
          <w:color w:val="000000" w:themeColor="text1"/>
        </w:rPr>
        <w:t xml:space="preserve"> less than 0.90. This depicts that there is no problem of multicollinearity and that interpretation of the regression coefficient should not be affected adversely</w:t>
      </w:r>
      <w:r w:rsidR="00D90619" w:rsidRPr="00E63513">
        <w:rPr>
          <w:rFonts w:asciiTheme="majorBidi" w:hAnsiTheme="majorBidi" w:cstheme="majorBidi"/>
          <w:color w:val="000000" w:themeColor="text1"/>
        </w:rPr>
        <w:t xml:space="preserve"> </w:t>
      </w:r>
      <w:r w:rsidR="00D90619" w:rsidRPr="00E63513">
        <w:rPr>
          <w:rFonts w:asciiTheme="majorBidi" w:hAnsiTheme="majorBidi" w:cstheme="majorBidi"/>
          <w:color w:val="000000" w:themeColor="text1"/>
        </w:rPr>
        <w:fldChar w:fldCharType="begin" w:fldLock="1"/>
      </w:r>
      <w:r w:rsidR="00263700" w:rsidRPr="00E63513">
        <w:rPr>
          <w:rFonts w:asciiTheme="majorBidi" w:hAnsiTheme="majorBidi" w:cstheme="majorBidi"/>
          <w:color w:val="000000" w:themeColor="text1"/>
        </w:rPr>
        <w:instrText>ADDIN CSL_CITATION { "citationItems" : [ { "id" : "ITEM-1", "itemData" : { "ISBN" : "0072427922", "author" : [ { "dropping-particle" : "", "family" : "Gujarati", "given" : "Damodar N.", "non-dropping-particle" : "", "parse-names" : false, "suffix" : "" } ], "id" : "ITEM-1", "issued" : { "date-parts" : [ [ "2003" ] ] }, "title" : "Basic econometrics, 4th edition", "type" : "book" }, "uris" : [ "http://www.mendeley.com/documents/?uuid=3b6f4f3f-25a4-46f2-9a88-55651fa126a6" ] } ], "mendeley" : { "formattedCitation" : "(Gujarati, 2003)", "plainTextFormattedCitation" : "(Gujarati, 2003)", "previouslyFormattedCitation" : "(Gujarati, 2003)" }, "properties" : { "noteIndex" : 0 }, "schema" : "https://github.com/citation-style-language/schema/raw/master/csl-citation.json" }</w:instrText>
      </w:r>
      <w:r w:rsidR="00D90619" w:rsidRPr="00E63513">
        <w:rPr>
          <w:rFonts w:asciiTheme="majorBidi" w:hAnsiTheme="majorBidi" w:cstheme="majorBidi"/>
          <w:color w:val="000000" w:themeColor="text1"/>
        </w:rPr>
        <w:fldChar w:fldCharType="separate"/>
      </w:r>
      <w:r w:rsidR="00D90619" w:rsidRPr="00E63513">
        <w:rPr>
          <w:rFonts w:asciiTheme="majorBidi" w:hAnsiTheme="majorBidi" w:cstheme="majorBidi"/>
          <w:noProof/>
          <w:color w:val="000000" w:themeColor="text1"/>
        </w:rPr>
        <w:t>(Gujarati, 2003)</w:t>
      </w:r>
      <w:r w:rsidR="00D90619" w:rsidRPr="00E63513">
        <w:rPr>
          <w:rFonts w:asciiTheme="majorBidi" w:hAnsiTheme="majorBidi" w:cstheme="majorBidi"/>
          <w:color w:val="000000" w:themeColor="text1"/>
        </w:rPr>
        <w:fldChar w:fldCharType="end"/>
      </w:r>
      <w:r w:rsidR="00C05AF2" w:rsidRPr="00E63513">
        <w:rPr>
          <w:rFonts w:asciiTheme="majorBidi" w:hAnsiTheme="majorBidi" w:cstheme="majorBidi"/>
          <w:color w:val="000000" w:themeColor="text1"/>
        </w:rPr>
        <w:t>.</w:t>
      </w:r>
    </w:p>
    <w:p w:rsidR="00CA71F0" w:rsidRPr="00E63513" w:rsidRDefault="00CA71F0" w:rsidP="0088546B">
      <w:pPr>
        <w:spacing w:after="0" w:line="240" w:lineRule="auto"/>
        <w:ind w:firstLine="720"/>
        <w:jc w:val="both"/>
        <w:rPr>
          <w:rFonts w:asciiTheme="majorBidi" w:hAnsiTheme="majorBidi" w:cstheme="majorBidi"/>
          <w:color w:val="000000" w:themeColor="text1"/>
        </w:rPr>
      </w:pPr>
    </w:p>
    <w:p w:rsidR="00CA71F0" w:rsidRPr="00E63513" w:rsidRDefault="00CA71F0" w:rsidP="0088546B">
      <w:pPr>
        <w:spacing w:after="0" w:line="240" w:lineRule="auto"/>
        <w:ind w:firstLine="720"/>
        <w:jc w:val="both"/>
        <w:rPr>
          <w:rFonts w:asciiTheme="majorBidi" w:hAnsiTheme="majorBidi" w:cstheme="majorBidi"/>
          <w:color w:val="000000" w:themeColor="text1"/>
        </w:rPr>
      </w:pPr>
    </w:p>
    <w:tbl>
      <w:tblPr>
        <w:tblW w:w="9279" w:type="dxa"/>
        <w:tblInd w:w="93" w:type="dxa"/>
        <w:tblLayout w:type="fixed"/>
        <w:tblLook w:val="04A0" w:firstRow="1" w:lastRow="0" w:firstColumn="1" w:lastColumn="0" w:noHBand="0" w:noVBand="1"/>
      </w:tblPr>
      <w:tblGrid>
        <w:gridCol w:w="1107"/>
        <w:gridCol w:w="1225"/>
        <w:gridCol w:w="925"/>
        <w:gridCol w:w="863"/>
        <w:gridCol w:w="928"/>
        <w:gridCol w:w="863"/>
        <w:gridCol w:w="863"/>
        <w:gridCol w:w="883"/>
        <w:gridCol w:w="883"/>
        <w:gridCol w:w="739"/>
      </w:tblGrid>
      <w:tr w:rsidR="00E63513" w:rsidRPr="00E63513" w:rsidTr="00584728">
        <w:trPr>
          <w:cantSplit/>
          <w:trHeight w:val="60"/>
        </w:trPr>
        <w:tc>
          <w:tcPr>
            <w:tcW w:w="9279" w:type="dxa"/>
            <w:gridSpan w:val="10"/>
            <w:tcBorders>
              <w:bottom w:val="single" w:sz="4" w:space="0" w:color="auto"/>
            </w:tcBorders>
            <w:shd w:val="clear" w:color="000000" w:fill="FFFFFF"/>
            <w:vAlign w:val="center"/>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b/>
                <w:bCs/>
                <w:color w:val="000000" w:themeColor="text1"/>
                <w:sz w:val="20"/>
                <w:szCs w:val="20"/>
              </w:rPr>
              <w:t>Table 4: Correlations analysis of conventional banks</w:t>
            </w:r>
          </w:p>
        </w:tc>
      </w:tr>
      <w:tr w:rsidR="00E63513" w:rsidRPr="00E63513" w:rsidTr="00584728">
        <w:trPr>
          <w:cantSplit/>
          <w:trHeight w:val="60"/>
        </w:trPr>
        <w:tc>
          <w:tcPr>
            <w:tcW w:w="1107"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p>
        </w:tc>
        <w:tc>
          <w:tcPr>
            <w:tcW w:w="1225"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925"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863"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928"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863"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863"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883"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883"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739" w:type="dxa"/>
            <w:tcBorders>
              <w:top w:val="single" w:sz="4" w:space="0" w:color="auto"/>
              <w:bottom w:val="single" w:sz="4" w:space="0" w:color="auto"/>
            </w:tcBorders>
            <w:shd w:val="clear" w:color="000000" w:fill="FFFFFF"/>
            <w:vAlign w:val="center"/>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r>
      <w:tr w:rsidR="00E63513" w:rsidRPr="00E63513" w:rsidTr="00584728">
        <w:trPr>
          <w:cantSplit/>
          <w:trHeight w:val="60"/>
        </w:trPr>
        <w:tc>
          <w:tcPr>
            <w:tcW w:w="1107"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225"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925"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863"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928"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863"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863"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883"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883"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c>
          <w:tcPr>
            <w:tcW w:w="739" w:type="dxa"/>
            <w:tcBorders>
              <w:top w:val="single" w:sz="4" w:space="0" w:color="auto"/>
            </w:tcBorders>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.987</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.796</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.762</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-.444</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-.432</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-.500</w:t>
            </w:r>
            <w:r w:rsidRPr="00E63513">
              <w:rPr>
                <w:rFonts w:asciiTheme="majorBidi" w:eastAsia="Times New Roman" w:hAnsiTheme="majorBidi" w:cstheme="majorBidi"/>
                <w:color w:val="000000" w:themeColor="text1"/>
                <w:sz w:val="20"/>
                <w:szCs w:val="20"/>
                <w:vertAlign w:val="superscript"/>
              </w:rPr>
              <w:t>**</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-.067</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-.049</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-.175</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-.253</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-.321</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-.285</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-.341</w:t>
            </w:r>
            <w:r w:rsidRPr="00E63513">
              <w:rPr>
                <w:rFonts w:asciiTheme="majorBidi" w:eastAsia="Times New Roman" w:hAnsiTheme="majorBidi" w:cstheme="majorBidi"/>
                <w:color w:val="000000" w:themeColor="text1"/>
                <w:sz w:val="20"/>
                <w:szCs w:val="20"/>
                <w:vertAlign w:val="superscript"/>
              </w:rPr>
              <w:t>**</w:t>
            </w:r>
          </w:p>
        </w:tc>
        <w:tc>
          <w:tcPr>
            <w:tcW w:w="928" w:type="dxa"/>
            <w:shd w:val="clear" w:color="000000" w:fill="FFFFFF"/>
            <w:vAlign w:val="center"/>
          </w:tcPr>
          <w:p w:rsidR="00602DAB" w:rsidRPr="00E63513" w:rsidRDefault="00584728"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-.229</w:t>
            </w:r>
            <w:r w:rsidR="00602DAB"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.462</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-.318</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-.365</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-.135</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.373</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-.649</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-.400</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107"/>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0.106</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0.149</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0.003</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-.282</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.650</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.454</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-.774</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584728">
        <w:trPr>
          <w:cantSplit/>
          <w:trHeight w:val="60"/>
        </w:trPr>
        <w:tc>
          <w:tcPr>
            <w:tcW w:w="1107"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12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-.405</w:t>
            </w:r>
            <w:r w:rsidRPr="00E63513">
              <w:rPr>
                <w:rFonts w:asciiTheme="majorBidi" w:eastAsia="Times New Roman" w:hAnsiTheme="majorBidi" w:cstheme="majorBidi"/>
                <w:color w:val="000000" w:themeColor="text1"/>
                <w:sz w:val="20"/>
                <w:szCs w:val="20"/>
                <w:vertAlign w:val="superscript"/>
              </w:rPr>
              <w:t>**</w:t>
            </w:r>
          </w:p>
        </w:tc>
        <w:tc>
          <w:tcPr>
            <w:tcW w:w="925"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-.459</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-.187</w:t>
            </w:r>
            <w:r w:rsidRPr="00E63513">
              <w:rPr>
                <w:rFonts w:asciiTheme="majorBidi" w:eastAsia="Times New Roman" w:hAnsiTheme="majorBidi" w:cstheme="majorBidi"/>
                <w:color w:val="000000" w:themeColor="text1"/>
                <w:sz w:val="20"/>
                <w:szCs w:val="20"/>
                <w:vertAlign w:val="superscript"/>
              </w:rPr>
              <w:t>*</w:t>
            </w:r>
          </w:p>
        </w:tc>
        <w:tc>
          <w:tcPr>
            <w:tcW w:w="928"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.505</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-.329</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-.238</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.537</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-.556</w:t>
            </w:r>
            <w:r w:rsidRPr="00E63513">
              <w:rPr>
                <w:rFonts w:asciiTheme="majorBidi" w:eastAsia="Times New Roman" w:hAnsiTheme="majorBidi" w:cstheme="majorBidi"/>
                <w:color w:val="000000" w:themeColor="text1"/>
                <w:sz w:val="20"/>
                <w:szCs w:val="20"/>
                <w:vertAlign w:val="superscript"/>
              </w:rPr>
              <w:t>**</w:t>
            </w:r>
          </w:p>
        </w:tc>
        <w:tc>
          <w:tcPr>
            <w:tcW w:w="739" w:type="dxa"/>
            <w:shd w:val="clear" w:color="000000" w:fill="FFFFFF"/>
            <w:vAlign w:val="center"/>
          </w:tcPr>
          <w:p w:rsidR="00602DAB" w:rsidRPr="00E63513" w:rsidRDefault="00602DAB"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r>
      <w:tr w:rsidR="00E63513" w:rsidRPr="00E63513" w:rsidTr="00584728">
        <w:trPr>
          <w:cantSplit/>
          <w:trHeight w:val="70"/>
        </w:trPr>
        <w:tc>
          <w:tcPr>
            <w:tcW w:w="9279" w:type="dxa"/>
            <w:gridSpan w:val="10"/>
            <w:tcBorders>
              <w:top w:val="single" w:sz="4" w:space="0" w:color="auto"/>
            </w:tcBorders>
            <w:shd w:val="clear" w:color="000000" w:fill="FFFFFF"/>
            <w:vAlign w:val="center"/>
            <w:hideMark/>
          </w:tcPr>
          <w:p w:rsidR="000715B5" w:rsidRPr="00E63513" w:rsidRDefault="000715B5" w:rsidP="00E174F5">
            <w:pPr>
              <w:spacing w:after="0" w:line="240" w:lineRule="auto"/>
              <w:rPr>
                <w:rFonts w:asciiTheme="majorBidi" w:eastAsia="Times New Roman" w:hAnsiTheme="majorBidi" w:cstheme="majorBidi"/>
                <w:color w:val="000000" w:themeColor="text1"/>
                <w:sz w:val="16"/>
                <w:szCs w:val="16"/>
              </w:rPr>
            </w:pPr>
            <w:r w:rsidRPr="00E63513">
              <w:rPr>
                <w:rFonts w:asciiTheme="majorBidi" w:eastAsia="Times New Roman" w:hAnsiTheme="majorBidi" w:cstheme="majorBidi"/>
                <w:color w:val="000000" w:themeColor="text1"/>
                <w:sz w:val="16"/>
                <w:szCs w:val="16"/>
              </w:rPr>
              <w:t>**. Correlation is significant at the 0.01 level and *. Correlation is significant at the 0.05 level.</w:t>
            </w:r>
          </w:p>
        </w:tc>
      </w:tr>
    </w:tbl>
    <w:p w:rsidR="002D6B21" w:rsidRPr="00E63513" w:rsidRDefault="002D6B21" w:rsidP="00E174F5">
      <w:pPr>
        <w:spacing w:after="0" w:line="240" w:lineRule="auto"/>
        <w:jc w:val="both"/>
        <w:rPr>
          <w:rFonts w:asciiTheme="majorBidi" w:hAnsiTheme="majorBidi" w:cstheme="majorBidi"/>
          <w:color w:val="000000" w:themeColor="text1"/>
        </w:rPr>
      </w:pPr>
    </w:p>
    <w:p w:rsidR="00CA71F0" w:rsidRPr="00E63513" w:rsidRDefault="00CA71F0" w:rsidP="00E174F5">
      <w:pPr>
        <w:spacing w:after="0" w:line="240" w:lineRule="auto"/>
        <w:jc w:val="both"/>
        <w:rPr>
          <w:rFonts w:asciiTheme="majorBidi" w:hAnsiTheme="majorBidi" w:cstheme="majorBidi"/>
          <w:color w:val="000000" w:themeColor="text1"/>
        </w:rPr>
      </w:pPr>
    </w:p>
    <w:p w:rsidR="00CA71F0" w:rsidRPr="00E63513" w:rsidRDefault="00CA71F0" w:rsidP="00E174F5">
      <w:pPr>
        <w:spacing w:after="0" w:line="240" w:lineRule="auto"/>
        <w:jc w:val="both"/>
        <w:rPr>
          <w:rFonts w:asciiTheme="majorBidi" w:hAnsiTheme="majorBidi" w:cstheme="majorBidi"/>
          <w:color w:val="000000" w:themeColor="text1"/>
        </w:rPr>
      </w:pPr>
    </w:p>
    <w:tbl>
      <w:tblPr>
        <w:tblW w:w="8926" w:type="dxa"/>
        <w:tblInd w:w="93" w:type="dxa"/>
        <w:tblLayout w:type="fixed"/>
        <w:tblLook w:val="04A0" w:firstRow="1" w:lastRow="0" w:firstColumn="1" w:lastColumn="0" w:noHBand="0" w:noVBand="1"/>
      </w:tblPr>
      <w:tblGrid>
        <w:gridCol w:w="1107"/>
        <w:gridCol w:w="1133"/>
        <w:gridCol w:w="796"/>
        <w:gridCol w:w="863"/>
        <w:gridCol w:w="796"/>
        <w:gridCol w:w="863"/>
        <w:gridCol w:w="863"/>
        <w:gridCol w:w="883"/>
        <w:gridCol w:w="883"/>
        <w:gridCol w:w="739"/>
      </w:tblGrid>
      <w:tr w:rsidR="00E63513" w:rsidRPr="00E63513" w:rsidTr="00602DAB">
        <w:trPr>
          <w:cantSplit/>
          <w:trHeight w:val="60"/>
        </w:trPr>
        <w:tc>
          <w:tcPr>
            <w:tcW w:w="8926" w:type="dxa"/>
            <w:gridSpan w:val="10"/>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lastRenderedPageBreak/>
              <w:t>Table 5: Correlations analysis of Islamic banks</w:t>
            </w:r>
          </w:p>
        </w:tc>
      </w:tr>
      <w:tr w:rsidR="00E63513" w:rsidRPr="00E63513" w:rsidTr="00602DAB">
        <w:trPr>
          <w:cantSplit/>
          <w:trHeight w:val="115"/>
        </w:trPr>
        <w:tc>
          <w:tcPr>
            <w:tcW w:w="1107"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113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796"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86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796"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86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86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88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883"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739" w:type="dxa"/>
            <w:tcBorders>
              <w:top w:val="single" w:sz="4" w:space="0" w:color="auto"/>
              <w:bottom w:val="single" w:sz="4" w:space="0" w:color="auto"/>
            </w:tcBorders>
            <w:shd w:val="clear" w:color="000000" w:fill="FFFFFF"/>
            <w:vAlign w:val="center"/>
            <w:hideMark/>
          </w:tcPr>
          <w:p w:rsidR="001965D6" w:rsidRPr="00E63513" w:rsidRDefault="001965D6" w:rsidP="00E174F5">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r>
      <w:tr w:rsidR="00E63513" w:rsidRPr="00E63513" w:rsidTr="00602DAB">
        <w:trPr>
          <w:cantSplit/>
          <w:trHeight w:val="60"/>
        </w:trPr>
        <w:tc>
          <w:tcPr>
            <w:tcW w:w="1107"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13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796"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96"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tcBorders>
              <w:top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.988</w:t>
            </w:r>
            <w:r w:rsidRPr="00E63513">
              <w:rPr>
                <w:rFonts w:asciiTheme="majorBidi" w:eastAsia="Times New Roman" w:hAnsiTheme="majorBidi" w:cstheme="majorBidi"/>
                <w:color w:val="000000" w:themeColor="text1"/>
                <w:sz w:val="20"/>
                <w:szCs w:val="20"/>
                <w:vertAlign w:val="superscript"/>
              </w:rPr>
              <w:t>**</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0.133</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0.076</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0.168</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0.297</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-.272</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0C42FC">
        <w:trPr>
          <w:cantSplit/>
          <w:trHeight w:val="66"/>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-.010</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-.166</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-.135</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-.237</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.400</w:t>
            </w:r>
            <w:r w:rsidRPr="00E63513">
              <w:rPr>
                <w:rFonts w:asciiTheme="majorBidi" w:eastAsia="Times New Roman" w:hAnsiTheme="majorBidi" w:cstheme="majorBidi"/>
                <w:color w:val="000000" w:themeColor="text1"/>
                <w:sz w:val="20"/>
                <w:szCs w:val="20"/>
                <w:vertAlign w:val="superscript"/>
              </w:rPr>
              <w:t>**</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.431</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-.746</w:t>
            </w:r>
            <w:r w:rsidRPr="00E63513">
              <w:rPr>
                <w:rFonts w:asciiTheme="majorBidi" w:eastAsia="Times New Roman" w:hAnsiTheme="majorBidi" w:cstheme="majorBidi"/>
                <w:color w:val="000000" w:themeColor="text1"/>
                <w:sz w:val="20"/>
                <w:szCs w:val="20"/>
                <w:vertAlign w:val="superscript"/>
              </w:rPr>
              <w:t>**</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.317</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0.162</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LIQR1</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.396</w:t>
            </w:r>
            <w:r w:rsidRPr="00E63513">
              <w:rPr>
                <w:rFonts w:asciiTheme="majorBidi" w:eastAsia="Times New Roman" w:hAnsiTheme="majorBidi" w:cstheme="majorBidi"/>
                <w:color w:val="000000" w:themeColor="text1"/>
                <w:sz w:val="20"/>
                <w:szCs w:val="20"/>
                <w:vertAlign w:val="superscript"/>
              </w:rPr>
              <w:t>**</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.453</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-.111</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.458</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-.544</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0.285</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LIQR2</w:t>
            </w:r>
          </w:p>
        </w:tc>
        <w:tc>
          <w:tcPr>
            <w:tcW w:w="113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-.036</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0.025</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-.005</w:t>
            </w:r>
          </w:p>
        </w:tc>
        <w:tc>
          <w:tcPr>
            <w:tcW w:w="796"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0.143</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.514</w:t>
            </w:r>
            <w:r w:rsidRPr="00E63513">
              <w:rPr>
                <w:rFonts w:asciiTheme="majorBidi" w:eastAsia="Times New Roman" w:hAnsiTheme="majorBidi" w:cstheme="majorBidi"/>
                <w:color w:val="000000" w:themeColor="text1"/>
                <w:sz w:val="20"/>
                <w:szCs w:val="20"/>
                <w:vertAlign w:val="superscript"/>
              </w:rPr>
              <w:t>**</w:t>
            </w:r>
          </w:p>
        </w:tc>
        <w:tc>
          <w:tcPr>
            <w:tcW w:w="86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0.05</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-.506</w:t>
            </w:r>
            <w:r w:rsidRPr="00E63513">
              <w:rPr>
                <w:rFonts w:asciiTheme="majorBidi" w:eastAsia="Times New Roman" w:hAnsiTheme="majorBidi" w:cstheme="majorBidi"/>
                <w:color w:val="000000" w:themeColor="text1"/>
                <w:sz w:val="20"/>
                <w:szCs w:val="20"/>
                <w:vertAlign w:val="superscript"/>
              </w:rPr>
              <w:t>**</w:t>
            </w:r>
          </w:p>
        </w:tc>
        <w:tc>
          <w:tcPr>
            <w:tcW w:w="883"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739" w:type="dxa"/>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w:p>
        </w:tc>
      </w:tr>
      <w:tr w:rsidR="00E63513" w:rsidRPr="00E63513" w:rsidTr="00602DAB">
        <w:trPr>
          <w:cantSplit/>
          <w:trHeight w:val="60"/>
        </w:trPr>
        <w:tc>
          <w:tcPr>
            <w:tcW w:w="1107"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113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-.265</w:t>
            </w:r>
          </w:p>
        </w:tc>
        <w:tc>
          <w:tcPr>
            <w:tcW w:w="796"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-.296</w:t>
            </w:r>
          </w:p>
        </w:tc>
        <w:tc>
          <w:tcPr>
            <w:tcW w:w="86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.420</w:t>
            </w:r>
            <w:r w:rsidRPr="00E63513">
              <w:rPr>
                <w:rFonts w:asciiTheme="majorBidi" w:eastAsia="Times New Roman" w:hAnsiTheme="majorBidi" w:cstheme="majorBidi"/>
                <w:color w:val="000000" w:themeColor="text1"/>
                <w:sz w:val="20"/>
                <w:szCs w:val="20"/>
                <w:vertAlign w:val="superscript"/>
              </w:rPr>
              <w:t>**</w:t>
            </w:r>
          </w:p>
        </w:tc>
        <w:tc>
          <w:tcPr>
            <w:tcW w:w="796"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-.237</w:t>
            </w:r>
          </w:p>
        </w:tc>
        <w:tc>
          <w:tcPr>
            <w:tcW w:w="86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-.537</w:t>
            </w:r>
            <w:r w:rsidRPr="00E63513">
              <w:rPr>
                <w:rFonts w:asciiTheme="majorBidi" w:eastAsia="Times New Roman" w:hAnsiTheme="majorBidi" w:cstheme="majorBidi"/>
                <w:color w:val="000000" w:themeColor="text1"/>
                <w:sz w:val="20"/>
                <w:szCs w:val="20"/>
                <w:vertAlign w:val="superscript"/>
              </w:rPr>
              <w:t>**</w:t>
            </w:r>
          </w:p>
        </w:tc>
        <w:tc>
          <w:tcPr>
            <w:tcW w:w="86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-.593</w:t>
            </w:r>
            <w:r w:rsidRPr="00E63513">
              <w:rPr>
                <w:rFonts w:asciiTheme="majorBidi" w:eastAsia="Times New Roman" w:hAnsiTheme="majorBidi" w:cstheme="majorBidi"/>
                <w:color w:val="000000" w:themeColor="text1"/>
                <w:sz w:val="20"/>
                <w:szCs w:val="20"/>
                <w:vertAlign w:val="superscript"/>
              </w:rPr>
              <w:t>**</w:t>
            </w:r>
          </w:p>
        </w:tc>
        <w:tc>
          <w:tcPr>
            <w:tcW w:w="88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0.209</w:t>
            </w:r>
          </w:p>
        </w:tc>
        <w:tc>
          <w:tcPr>
            <w:tcW w:w="883"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-.485</w:t>
            </w:r>
            <w:r w:rsidRPr="00E63513">
              <w:rPr>
                <w:rFonts w:asciiTheme="majorBidi" w:eastAsia="Times New Roman" w:hAnsiTheme="majorBidi" w:cstheme="majorBidi"/>
                <w:color w:val="000000" w:themeColor="text1"/>
                <w:sz w:val="20"/>
                <w:szCs w:val="20"/>
                <w:vertAlign w:val="superscript"/>
              </w:rPr>
              <w:t>**</w:t>
            </w:r>
          </w:p>
        </w:tc>
        <w:tc>
          <w:tcPr>
            <w:tcW w:w="739" w:type="dxa"/>
            <w:tcBorders>
              <w:bottom w:val="single" w:sz="4" w:space="0" w:color="auto"/>
            </w:tcBorders>
            <w:shd w:val="clear" w:color="000000" w:fill="FFFFFF"/>
            <w:vAlign w:val="center"/>
            <w:hideMark/>
          </w:tcPr>
          <w:p w:rsidR="001965D6" w:rsidRPr="00E63513" w:rsidRDefault="001965D6" w:rsidP="00E174F5">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r>
      <w:tr w:rsidR="00E63513" w:rsidRPr="00E63513" w:rsidTr="00602DAB">
        <w:trPr>
          <w:cantSplit/>
          <w:trHeight w:val="60"/>
        </w:trPr>
        <w:tc>
          <w:tcPr>
            <w:tcW w:w="8926" w:type="dxa"/>
            <w:gridSpan w:val="10"/>
            <w:tcBorders>
              <w:top w:val="single" w:sz="4" w:space="0" w:color="auto"/>
            </w:tcBorders>
            <w:shd w:val="clear" w:color="000000" w:fill="FFFFFF"/>
            <w:vAlign w:val="center"/>
          </w:tcPr>
          <w:p w:rsidR="000715B5" w:rsidRPr="00E63513" w:rsidRDefault="000715B5" w:rsidP="00E174F5">
            <w:pPr>
              <w:spacing w:after="0" w:line="240" w:lineRule="auto"/>
              <w:rPr>
                <w:rFonts w:asciiTheme="majorBidi" w:eastAsia="Times New Roman" w:hAnsiTheme="majorBidi" w:cstheme="majorBidi"/>
                <w:color w:val="000000" w:themeColor="text1"/>
                <w:sz w:val="16"/>
                <w:szCs w:val="16"/>
              </w:rPr>
            </w:pPr>
            <w:r w:rsidRPr="00E63513">
              <w:rPr>
                <w:rFonts w:asciiTheme="majorBidi" w:eastAsia="Times New Roman" w:hAnsiTheme="majorBidi" w:cstheme="majorBidi"/>
                <w:color w:val="000000" w:themeColor="text1"/>
                <w:sz w:val="16"/>
                <w:szCs w:val="16"/>
              </w:rPr>
              <w:t>**. Correlation is significant at the 0.01 level and *. Correlation is significant at the 0.05 level.</w:t>
            </w:r>
          </w:p>
        </w:tc>
      </w:tr>
    </w:tbl>
    <w:p w:rsidR="00745A8D" w:rsidRPr="00E63513" w:rsidRDefault="00745A8D" w:rsidP="00E174F5">
      <w:pPr>
        <w:spacing w:after="0" w:line="240" w:lineRule="auto"/>
        <w:jc w:val="both"/>
        <w:rPr>
          <w:rFonts w:asciiTheme="majorBidi" w:eastAsia="Times New Roman" w:hAnsiTheme="majorBidi" w:cstheme="majorBidi"/>
          <w:color w:val="000000" w:themeColor="text1"/>
        </w:rPr>
      </w:pPr>
    </w:p>
    <w:p w:rsidR="001965D6" w:rsidRPr="00E63513" w:rsidRDefault="001965D6" w:rsidP="00E174F5">
      <w:pPr>
        <w:spacing w:after="0" w:line="240" w:lineRule="auto"/>
        <w:jc w:val="both"/>
        <w:rPr>
          <w:rFonts w:asciiTheme="majorBidi" w:eastAsia="Times New Roman" w:hAnsiTheme="majorBidi" w:cstheme="majorBidi"/>
          <w:color w:val="000000" w:themeColor="text1"/>
        </w:rPr>
      </w:pPr>
    </w:p>
    <w:p w:rsidR="00745A8D" w:rsidRPr="00E63513" w:rsidRDefault="0062564C" w:rsidP="00E174F5">
      <w:pPr>
        <w:spacing w:after="0" w:line="240" w:lineRule="auto"/>
        <w:jc w:val="both"/>
        <w:rPr>
          <w:rFonts w:asciiTheme="majorBidi" w:eastAsia="Times New Roman" w:hAnsiTheme="majorBidi" w:cstheme="majorBidi"/>
          <w:b/>
          <w:bCs/>
          <w:color w:val="000000" w:themeColor="text1"/>
        </w:rPr>
      </w:pPr>
      <w:r w:rsidRPr="00E63513">
        <w:rPr>
          <w:rFonts w:asciiTheme="majorBidi" w:eastAsia="Times New Roman" w:hAnsiTheme="majorBidi" w:cstheme="majorBidi"/>
          <w:b/>
          <w:bCs/>
          <w:color w:val="000000" w:themeColor="text1"/>
        </w:rPr>
        <w:t>4.3. Empirical</w:t>
      </w:r>
      <w:r w:rsidR="00745A8D" w:rsidRPr="00E63513">
        <w:rPr>
          <w:rFonts w:asciiTheme="majorBidi" w:eastAsia="Times New Roman" w:hAnsiTheme="majorBidi" w:cstheme="majorBidi"/>
          <w:b/>
          <w:bCs/>
          <w:color w:val="000000" w:themeColor="text1"/>
        </w:rPr>
        <w:t xml:space="preserve"> </w:t>
      </w:r>
      <w:r w:rsidR="00D02B32" w:rsidRPr="00E63513">
        <w:rPr>
          <w:rFonts w:asciiTheme="majorBidi" w:eastAsia="Times New Roman" w:hAnsiTheme="majorBidi" w:cstheme="majorBidi"/>
          <w:b/>
          <w:bCs/>
          <w:color w:val="000000" w:themeColor="text1"/>
        </w:rPr>
        <w:t>Results</w:t>
      </w:r>
    </w:p>
    <w:p w:rsidR="0062564C" w:rsidRPr="00E63513" w:rsidRDefault="0062564C" w:rsidP="00E174F5">
      <w:pPr>
        <w:spacing w:after="0" w:line="240" w:lineRule="auto"/>
        <w:jc w:val="both"/>
        <w:rPr>
          <w:rFonts w:asciiTheme="majorBidi" w:eastAsia="Times New Roman" w:hAnsiTheme="majorBidi" w:cstheme="majorBidi"/>
          <w:b/>
          <w:bCs/>
          <w:color w:val="000000" w:themeColor="text1"/>
        </w:rPr>
      </w:pPr>
    </w:p>
    <w:p w:rsidR="00B55443" w:rsidRPr="00E63513" w:rsidRDefault="003634C0" w:rsidP="00DA2F95">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 xml:space="preserve">This section reports the results of regression </w:t>
      </w:r>
      <w:r w:rsidR="00DA2F95" w:rsidRPr="00E63513">
        <w:rPr>
          <w:rFonts w:asciiTheme="majorBidi" w:eastAsia="Times New Roman" w:hAnsiTheme="majorBidi" w:cstheme="majorBidi"/>
          <w:color w:val="000000" w:themeColor="text1"/>
        </w:rPr>
        <w:t xml:space="preserve">analysis on the shareholders' value </w:t>
      </w:r>
      <w:r w:rsidR="008012ED" w:rsidRPr="00E63513">
        <w:rPr>
          <w:rFonts w:asciiTheme="majorBidi" w:eastAsia="Times New Roman" w:hAnsiTheme="majorBidi" w:cstheme="majorBidi"/>
          <w:color w:val="000000" w:themeColor="text1"/>
        </w:rPr>
        <w:t>for</w:t>
      </w:r>
      <w:r w:rsidR="00DA2F95" w:rsidRPr="00E63513">
        <w:rPr>
          <w:rFonts w:asciiTheme="majorBidi" w:eastAsia="Times New Roman" w:hAnsiTheme="majorBidi" w:cstheme="majorBidi"/>
          <w:color w:val="000000" w:themeColor="text1"/>
        </w:rPr>
        <w:t xml:space="preserve"> </w:t>
      </w:r>
      <w:r w:rsidRPr="00E63513">
        <w:rPr>
          <w:rFonts w:asciiTheme="majorBidi" w:eastAsia="Times New Roman" w:hAnsiTheme="majorBidi" w:cstheme="majorBidi"/>
          <w:color w:val="000000" w:themeColor="text1"/>
        </w:rPr>
        <w:t xml:space="preserve">both conventional and Islamic banks in Saudi Arabia </w:t>
      </w:r>
      <w:r w:rsidR="00DA2F95" w:rsidRPr="00E63513">
        <w:rPr>
          <w:rFonts w:asciiTheme="majorBidi" w:eastAsia="Times New Roman" w:hAnsiTheme="majorBidi" w:cstheme="majorBidi"/>
          <w:color w:val="000000" w:themeColor="text1"/>
        </w:rPr>
        <w:t>to decipher the</w:t>
      </w:r>
      <w:r w:rsidRPr="00E63513">
        <w:rPr>
          <w:rFonts w:asciiTheme="majorBidi" w:eastAsia="Times New Roman" w:hAnsiTheme="majorBidi" w:cstheme="majorBidi"/>
          <w:color w:val="000000" w:themeColor="text1"/>
        </w:rPr>
        <w:t xml:space="preserve"> relationship between the market-based </w:t>
      </w:r>
      <w:r w:rsidR="00F874B7"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measured by Tobin's Q, MB and ROE with CAMEL </w:t>
      </w:r>
      <w:r w:rsidR="00105EB8" w:rsidRPr="00E63513">
        <w:rPr>
          <w:rFonts w:asciiTheme="majorBidi" w:eastAsia="Times New Roman" w:hAnsiTheme="majorBidi" w:cstheme="majorBidi"/>
          <w:color w:val="000000" w:themeColor="text1"/>
        </w:rPr>
        <w:t>factors</w:t>
      </w:r>
      <w:r w:rsidRPr="00E63513">
        <w:rPr>
          <w:rFonts w:asciiTheme="majorBidi" w:eastAsia="Times New Roman" w:hAnsiTheme="majorBidi" w:cstheme="majorBidi"/>
          <w:color w:val="000000" w:themeColor="text1"/>
        </w:rPr>
        <w:t>: capital adequacy, asset quality, operational efficiency, net loan to total deposits, liquid assets to total assets as well as bank size.</w:t>
      </w:r>
    </w:p>
    <w:p w:rsidR="00204C96" w:rsidRPr="00E63513" w:rsidRDefault="00204C96" w:rsidP="00E174F5">
      <w:pPr>
        <w:spacing w:after="0" w:line="240" w:lineRule="auto"/>
        <w:jc w:val="both"/>
        <w:rPr>
          <w:rFonts w:asciiTheme="majorBidi" w:eastAsia="Times New Roman" w:hAnsiTheme="majorBidi" w:cstheme="majorBidi"/>
          <w:b/>
          <w:bCs/>
          <w:color w:val="000000" w:themeColor="text1"/>
        </w:rPr>
      </w:pPr>
    </w:p>
    <w:p w:rsidR="0008361E" w:rsidRPr="00E63513" w:rsidRDefault="0008361E" w:rsidP="00E174F5">
      <w:pPr>
        <w:spacing w:after="0" w:line="240" w:lineRule="auto"/>
        <w:jc w:val="both"/>
        <w:rPr>
          <w:rFonts w:asciiTheme="majorBidi" w:eastAsia="Times New Roman" w:hAnsiTheme="majorBidi" w:cstheme="majorBidi"/>
          <w:b/>
          <w:bCs/>
          <w:color w:val="000000" w:themeColor="text1"/>
        </w:rPr>
      </w:pPr>
    </w:p>
    <w:p w:rsidR="003634C0" w:rsidRPr="00E63513" w:rsidRDefault="003634C0" w:rsidP="00E174F5">
      <w:pPr>
        <w:spacing w:after="0" w:line="240" w:lineRule="auto"/>
        <w:jc w:val="both"/>
        <w:rPr>
          <w:rFonts w:asciiTheme="majorBidi" w:hAnsiTheme="majorBidi" w:cstheme="majorBidi"/>
          <w:b/>
          <w:bCs/>
          <w:color w:val="000000" w:themeColor="text1"/>
        </w:rPr>
      </w:pPr>
      <w:r w:rsidRPr="00E63513">
        <w:rPr>
          <w:rFonts w:asciiTheme="majorBidi" w:eastAsia="Times New Roman" w:hAnsiTheme="majorBidi" w:cstheme="majorBidi"/>
          <w:b/>
          <w:bCs/>
          <w:color w:val="000000" w:themeColor="text1"/>
        </w:rPr>
        <w:t>4.3.1</w:t>
      </w:r>
      <w:r w:rsidR="00740F5A" w:rsidRPr="00E63513">
        <w:rPr>
          <w:rFonts w:asciiTheme="majorBidi" w:eastAsia="Times New Roman" w:hAnsiTheme="majorBidi" w:cstheme="majorBidi"/>
          <w:b/>
          <w:bCs/>
          <w:color w:val="000000" w:themeColor="text1"/>
        </w:rPr>
        <w:t>.</w:t>
      </w:r>
      <w:r w:rsidR="00740F5A" w:rsidRPr="00E63513">
        <w:rPr>
          <w:rFonts w:asciiTheme="majorBidi" w:hAnsiTheme="majorBidi" w:cstheme="majorBidi"/>
          <w:b/>
          <w:bCs/>
          <w:color w:val="000000" w:themeColor="text1"/>
        </w:rPr>
        <w:t xml:space="preserve"> Conventional</w:t>
      </w:r>
      <w:r w:rsidRPr="00E63513">
        <w:rPr>
          <w:rFonts w:asciiTheme="majorBidi" w:hAnsiTheme="majorBidi" w:cstheme="majorBidi"/>
          <w:b/>
          <w:bCs/>
          <w:color w:val="000000" w:themeColor="text1"/>
        </w:rPr>
        <w:t xml:space="preserve"> banks </w:t>
      </w:r>
    </w:p>
    <w:p w:rsidR="0062564C" w:rsidRPr="00E63513" w:rsidRDefault="0062564C" w:rsidP="00E174F5">
      <w:pPr>
        <w:spacing w:after="0" w:line="240" w:lineRule="auto"/>
        <w:jc w:val="both"/>
        <w:rPr>
          <w:rFonts w:asciiTheme="majorBidi" w:eastAsia="Times New Roman" w:hAnsiTheme="majorBidi" w:cstheme="majorBidi"/>
          <w:color w:val="000000" w:themeColor="text1"/>
        </w:rPr>
      </w:pPr>
    </w:p>
    <w:p w:rsidR="00444362" w:rsidRPr="00E63513" w:rsidRDefault="00CB1B01" w:rsidP="00A820CB">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Table 6 reports the empiri</w:t>
      </w:r>
      <w:r w:rsidR="00105EB8" w:rsidRPr="00E63513">
        <w:rPr>
          <w:rFonts w:asciiTheme="majorBidi" w:eastAsia="Times New Roman" w:hAnsiTheme="majorBidi" w:cstheme="majorBidi"/>
          <w:color w:val="000000" w:themeColor="text1"/>
        </w:rPr>
        <w:t>cal results of Eq. (1) for bank</w:t>
      </w:r>
      <w:r w:rsidRPr="00E63513">
        <w:rPr>
          <w:rFonts w:asciiTheme="majorBidi" w:eastAsia="Times New Roman" w:hAnsiTheme="majorBidi" w:cstheme="majorBidi"/>
          <w:color w:val="000000" w:themeColor="text1"/>
        </w:rPr>
        <w:t xml:space="preserve"> </w:t>
      </w:r>
      <w:r w:rsidR="00105EB8"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measured by Tobin's Q, MB, and ROE for conventional banks in Saudi Arabia. Columns 1–3 present the regression results of pooled estimations, while Columns 4–6 report the random effect panel data. </w:t>
      </w:r>
      <w:r w:rsidR="00F25881" w:rsidRPr="00E63513">
        <w:rPr>
          <w:rFonts w:asciiTheme="majorBidi" w:eastAsia="Times New Roman" w:hAnsiTheme="majorBidi" w:cstheme="majorBidi"/>
          <w:color w:val="000000" w:themeColor="text1"/>
        </w:rPr>
        <w:t>T</w:t>
      </w:r>
      <w:r w:rsidR="00263700" w:rsidRPr="00E63513">
        <w:rPr>
          <w:rFonts w:asciiTheme="majorBidi" w:eastAsia="Times New Roman" w:hAnsiTheme="majorBidi" w:cstheme="majorBidi"/>
          <w:color w:val="000000" w:themeColor="text1"/>
        </w:rPr>
        <w:t>he</w:t>
      </w:r>
      <w:r w:rsidRPr="00E63513">
        <w:rPr>
          <w:rFonts w:asciiTheme="majorBidi" w:eastAsia="Times New Roman" w:hAnsiTheme="majorBidi" w:cstheme="majorBidi"/>
          <w:color w:val="000000" w:themeColor="text1"/>
        </w:rPr>
        <w:t xml:space="preserve"> p-values of Hausman test </w:t>
      </w:r>
      <w:r w:rsidR="00B8688E" w:rsidRPr="00E63513">
        <w:rPr>
          <w:rFonts w:asciiTheme="majorBidi" w:eastAsia="Times New Roman" w:hAnsiTheme="majorBidi" w:cstheme="majorBidi"/>
          <w:color w:val="000000" w:themeColor="text1"/>
        </w:rPr>
        <w:t>is</w:t>
      </w:r>
      <w:r w:rsidRPr="00E63513">
        <w:rPr>
          <w:rFonts w:asciiTheme="majorBidi" w:eastAsia="Times New Roman" w:hAnsiTheme="majorBidi" w:cstheme="majorBidi"/>
          <w:color w:val="000000" w:themeColor="text1"/>
        </w:rPr>
        <w:t xml:space="preserve"> significant </w:t>
      </w:r>
      <w:r w:rsidR="00F25881" w:rsidRPr="00E63513">
        <w:rPr>
          <w:rFonts w:asciiTheme="majorBidi" w:eastAsia="Times New Roman" w:hAnsiTheme="majorBidi" w:cstheme="majorBidi"/>
          <w:color w:val="000000" w:themeColor="text1"/>
        </w:rPr>
        <w:t>and</w:t>
      </w:r>
      <w:r w:rsidRPr="00E63513">
        <w:rPr>
          <w:rFonts w:asciiTheme="majorBidi" w:eastAsia="Times New Roman" w:hAnsiTheme="majorBidi" w:cstheme="majorBidi"/>
          <w:color w:val="000000" w:themeColor="text1"/>
        </w:rPr>
        <w:t xml:space="preserve"> more than 5%</w:t>
      </w:r>
      <w:r w:rsidR="00FE4B5C" w:rsidRPr="00E63513">
        <w:rPr>
          <w:rFonts w:asciiTheme="majorBidi" w:eastAsia="Times New Roman" w:hAnsiTheme="majorBidi" w:cstheme="majorBidi"/>
          <w:color w:val="000000" w:themeColor="text1"/>
        </w:rPr>
        <w:t xml:space="preserve"> (</w:t>
      </w:r>
      <w:r w:rsidR="00FE4B5C" w:rsidRPr="00E63513">
        <w:rPr>
          <w:rFonts w:asciiTheme="majorBidi" w:eastAsia="Times New Roman" w:hAnsiTheme="majorBidi" w:cstheme="majorBidi"/>
          <w:i/>
          <w:iCs/>
          <w:color w:val="000000" w:themeColor="text1"/>
        </w:rPr>
        <w:t>p-value</w:t>
      </w:r>
      <w:r w:rsidR="00FE4B5C" w:rsidRPr="00E63513">
        <w:rPr>
          <w:rFonts w:asciiTheme="majorBidi" w:eastAsia="Times New Roman" w:hAnsiTheme="majorBidi" w:cstheme="majorBidi"/>
          <w:color w:val="000000" w:themeColor="text1"/>
        </w:rPr>
        <w:t xml:space="preserve"> equals 0.0677, 0.0795, 0.0848 &gt; 5%)</w:t>
      </w:r>
      <w:r w:rsidRPr="00E63513">
        <w:rPr>
          <w:rFonts w:asciiTheme="majorBidi" w:eastAsia="Times New Roman" w:hAnsiTheme="majorBidi" w:cstheme="majorBidi"/>
          <w:color w:val="000000" w:themeColor="text1"/>
        </w:rPr>
        <w:t xml:space="preserve">, indicating that the null hypothesis is not rejected, which confirm that random effects model is more suitable for the regression analysis of our study </w:t>
      </w:r>
      <w:r w:rsidR="00263700" w:rsidRPr="00E63513">
        <w:rPr>
          <w:rFonts w:asciiTheme="majorBidi" w:eastAsia="Times New Roman" w:hAnsiTheme="majorBidi" w:cstheme="majorBidi"/>
          <w:color w:val="000000" w:themeColor="text1"/>
        </w:rPr>
        <w:fldChar w:fldCharType="begin" w:fldLock="1"/>
      </w:r>
      <w:r w:rsidR="00D52C91" w:rsidRPr="00E63513">
        <w:rPr>
          <w:rFonts w:asciiTheme="majorBidi" w:eastAsia="Times New Roman" w:hAnsiTheme="majorBidi" w:cstheme="majorBidi"/>
          <w:color w:val="000000" w:themeColor="text1"/>
        </w:rPr>
        <w:instrText>ADDIN CSL_CITATION { "citationItems" : [ { "id" : "ITEM-1", "itemData" : { "ISBN" : "0072427922", "author" : [ { "dropping-particle" : "", "family" : "Gujarati", "given" : "Damodar N.", "non-dropping-particle" : "", "parse-names" : false, "suffix" : "" } ], "id" : "ITEM-1", "issued" : { "date-parts" : [ [ "2003" ] ] }, "title" : "Basic econometrics, 4th edition", "type" : "book" }, "uris" : [ "http://www.mendeley.com/documents/?uuid=3b6f4f3f-25a4-46f2-9a88-55651fa126a6" ] } ], "mendeley" : { "formattedCitation" : "(Gujarati, 2003)", "plainTextFormattedCitation" : "(Gujarati, 2003)", "previouslyFormattedCitation" : "(Gujarati, 2003)" }, "properties" : { "noteIndex" : 0 }, "schema" : "https://github.com/citation-style-language/schema/raw/master/csl-citation.json" }</w:instrText>
      </w:r>
      <w:r w:rsidR="00263700" w:rsidRPr="00E63513">
        <w:rPr>
          <w:rFonts w:asciiTheme="majorBidi" w:eastAsia="Times New Roman" w:hAnsiTheme="majorBidi" w:cstheme="majorBidi"/>
          <w:color w:val="000000" w:themeColor="text1"/>
        </w:rPr>
        <w:fldChar w:fldCharType="separate"/>
      </w:r>
      <w:r w:rsidR="00263700" w:rsidRPr="00E63513">
        <w:rPr>
          <w:rFonts w:asciiTheme="majorBidi" w:eastAsia="Times New Roman" w:hAnsiTheme="majorBidi" w:cstheme="majorBidi"/>
          <w:noProof/>
          <w:color w:val="000000" w:themeColor="text1"/>
        </w:rPr>
        <w:t>(Gujarati, 2003)</w:t>
      </w:r>
      <w:r w:rsidR="00263700" w:rsidRPr="00E63513">
        <w:rPr>
          <w:rFonts w:asciiTheme="majorBidi" w:eastAsia="Times New Roman" w:hAnsiTheme="majorBidi" w:cstheme="majorBidi"/>
          <w:color w:val="000000" w:themeColor="text1"/>
        </w:rPr>
        <w:fldChar w:fldCharType="end"/>
      </w:r>
      <w:r w:rsidR="00263700" w:rsidRPr="00E63513">
        <w:rPr>
          <w:rFonts w:asciiTheme="majorBidi" w:eastAsia="Times New Roman" w:hAnsiTheme="majorBidi" w:cstheme="majorBidi"/>
          <w:color w:val="000000" w:themeColor="text1"/>
        </w:rPr>
        <w:t>.</w:t>
      </w:r>
      <w:r w:rsidR="00694161" w:rsidRPr="00E63513">
        <w:rPr>
          <w:rFonts w:asciiTheme="majorBidi" w:eastAsia="Times New Roman" w:hAnsiTheme="majorBidi" w:cstheme="majorBidi"/>
          <w:color w:val="000000" w:themeColor="text1"/>
        </w:rPr>
        <w:t xml:space="preserve"> </w:t>
      </w:r>
      <w:r w:rsidR="00A820CB" w:rsidRPr="00E63513">
        <w:rPr>
          <w:rFonts w:asciiTheme="majorBidi" w:eastAsia="Times New Roman" w:hAnsiTheme="majorBidi" w:cstheme="majorBidi"/>
          <w:color w:val="000000" w:themeColor="text1"/>
        </w:rPr>
        <w:t>T</w:t>
      </w:r>
      <w:r w:rsidR="00694161" w:rsidRPr="00E63513">
        <w:rPr>
          <w:rFonts w:asciiTheme="majorBidi" w:eastAsia="Times New Roman" w:hAnsiTheme="majorBidi" w:cstheme="majorBidi"/>
          <w:color w:val="000000" w:themeColor="text1"/>
        </w:rPr>
        <w:t xml:space="preserve">he pooled OLS and random effects model have found similar coefficients and signs for all </w:t>
      </w:r>
      <w:r w:rsidR="00A820CB" w:rsidRPr="00E63513">
        <w:rPr>
          <w:rFonts w:asciiTheme="majorBidi" w:eastAsia="Times New Roman" w:hAnsiTheme="majorBidi" w:cstheme="majorBidi"/>
          <w:color w:val="000000" w:themeColor="text1"/>
        </w:rPr>
        <w:t xml:space="preserve">the </w:t>
      </w:r>
      <w:r w:rsidR="00694161" w:rsidRPr="00E63513">
        <w:rPr>
          <w:rFonts w:asciiTheme="majorBidi" w:eastAsia="Times New Roman" w:hAnsiTheme="majorBidi" w:cstheme="majorBidi"/>
          <w:color w:val="000000" w:themeColor="text1"/>
        </w:rPr>
        <w:t>variables in the study.</w:t>
      </w:r>
    </w:p>
    <w:p w:rsidR="00833046" w:rsidRPr="00E63513" w:rsidRDefault="003F0512" w:rsidP="00712C7F">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 xml:space="preserve">It is </w:t>
      </w:r>
      <w:r w:rsidR="00A820CB" w:rsidRPr="00E63513">
        <w:rPr>
          <w:rFonts w:asciiTheme="majorBidi" w:eastAsia="Times New Roman" w:hAnsiTheme="majorBidi" w:cstheme="majorBidi"/>
          <w:color w:val="000000" w:themeColor="text1"/>
        </w:rPr>
        <w:t>found</w:t>
      </w:r>
      <w:r w:rsidRPr="00E63513">
        <w:rPr>
          <w:rFonts w:asciiTheme="majorBidi" w:eastAsia="Times New Roman" w:hAnsiTheme="majorBidi" w:cstheme="majorBidi"/>
          <w:color w:val="000000" w:themeColor="text1"/>
        </w:rPr>
        <w:t xml:space="preserve"> that CAR for conventional banks has a negative and significant effect on all measures of bank </w:t>
      </w:r>
      <w:r w:rsidR="00066D13" w:rsidRPr="00E63513">
        <w:rPr>
          <w:rFonts w:asciiTheme="majorBidi" w:eastAsia="Times New Roman" w:hAnsiTheme="majorBidi" w:cstheme="majorBidi"/>
          <w:color w:val="000000" w:themeColor="text1"/>
        </w:rPr>
        <w:t>shareholders</w:t>
      </w:r>
      <w:r w:rsidR="00A304F8" w:rsidRPr="00E63513">
        <w:rPr>
          <w:rFonts w:asciiTheme="majorBidi" w:eastAsia="Times New Roman" w:hAnsiTheme="majorBidi" w:cstheme="majorBidi"/>
          <w:color w:val="000000" w:themeColor="text1"/>
        </w:rPr>
        <w:t>’</w:t>
      </w:r>
      <w:r w:rsidR="00066D13" w:rsidRPr="00E63513">
        <w:rPr>
          <w:rFonts w:asciiTheme="majorBidi" w:eastAsia="Times New Roman" w:hAnsiTheme="majorBidi" w:cstheme="majorBidi"/>
          <w:color w:val="000000" w:themeColor="text1"/>
        </w:rPr>
        <w:t xml:space="preserve"> value</w:t>
      </w:r>
      <w:r w:rsidRPr="00E63513">
        <w:rPr>
          <w:rFonts w:asciiTheme="majorBidi" w:eastAsia="Times New Roman" w:hAnsiTheme="majorBidi" w:cstheme="majorBidi"/>
          <w:color w:val="000000" w:themeColor="text1"/>
        </w:rPr>
        <w:t xml:space="preserve"> </w:t>
      </w:r>
      <w:r w:rsidR="00A304F8" w:rsidRPr="00E63513">
        <w:rPr>
          <w:rFonts w:asciiTheme="majorBidi" w:eastAsia="Times New Roman" w:hAnsiTheme="majorBidi" w:cstheme="majorBidi"/>
          <w:color w:val="000000" w:themeColor="text1"/>
        </w:rPr>
        <w:t xml:space="preserve">as measured by </w:t>
      </w:r>
      <w:r w:rsidRPr="00E63513">
        <w:rPr>
          <w:rFonts w:asciiTheme="majorBidi" w:eastAsia="Times New Roman" w:hAnsiTheme="majorBidi" w:cstheme="majorBidi"/>
          <w:color w:val="000000" w:themeColor="text1"/>
        </w:rPr>
        <w:t xml:space="preserve">Tobin's Q, MB, and ROE, suggesting that </w:t>
      </w:r>
      <w:r w:rsidR="00A304F8" w:rsidRPr="00E63513">
        <w:rPr>
          <w:rFonts w:asciiTheme="majorBidi" w:eastAsia="Times New Roman" w:hAnsiTheme="majorBidi" w:cstheme="majorBidi"/>
          <w:color w:val="000000" w:themeColor="text1"/>
        </w:rPr>
        <w:t>higher the capital ratio, lower is the shareholders’ value</w:t>
      </w:r>
      <w:r w:rsidRPr="00E63513">
        <w:rPr>
          <w:rFonts w:asciiTheme="majorBidi" w:eastAsia="Times New Roman" w:hAnsiTheme="majorBidi" w:cstheme="majorBidi"/>
          <w:color w:val="000000" w:themeColor="text1"/>
        </w:rPr>
        <w:t>.</w:t>
      </w:r>
      <w:r w:rsidRPr="00E63513">
        <w:rPr>
          <w:rFonts w:asciiTheme="majorBidi" w:hAnsiTheme="majorBidi" w:cstheme="majorBidi"/>
          <w:color w:val="000000" w:themeColor="text1"/>
        </w:rPr>
        <w:t xml:space="preserve"> </w:t>
      </w:r>
      <w:r w:rsidRPr="00E63513">
        <w:rPr>
          <w:rFonts w:asciiTheme="majorBidi" w:eastAsia="Times New Roman" w:hAnsiTheme="majorBidi" w:cstheme="majorBidi"/>
          <w:color w:val="000000" w:themeColor="text1"/>
        </w:rPr>
        <w:t>Furthermore, credit risk or AQ measured by non-performing loan to total loan is negatively and significantly related to Tobin's Q, MB, and ROE, indicating that credit risk lower</w:t>
      </w:r>
      <w:r w:rsidR="00FE4B5C" w:rsidRPr="00E63513">
        <w:rPr>
          <w:rFonts w:asciiTheme="majorBidi" w:eastAsia="Times New Roman" w:hAnsiTheme="majorBidi" w:cstheme="majorBidi"/>
          <w:color w:val="000000" w:themeColor="text1"/>
        </w:rPr>
        <w:t>s</w:t>
      </w:r>
      <w:r w:rsidRPr="00E63513">
        <w:rPr>
          <w:rFonts w:asciiTheme="majorBidi" w:eastAsia="Times New Roman" w:hAnsiTheme="majorBidi" w:cstheme="majorBidi"/>
          <w:color w:val="000000" w:themeColor="text1"/>
        </w:rPr>
        <w:t xml:space="preserve"> </w:t>
      </w:r>
      <w:r w:rsidR="00066D13"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Furthermore, there is a negative and significant association between operating expenses to total income (OE) and Tobin's Q, MB, and ROE for conventional banks, indicating </w:t>
      </w:r>
      <w:r w:rsidR="00712C7F" w:rsidRPr="00E63513">
        <w:rPr>
          <w:rFonts w:asciiTheme="majorBidi" w:eastAsia="Times New Roman" w:hAnsiTheme="majorBidi" w:cstheme="majorBidi"/>
          <w:color w:val="000000" w:themeColor="text1"/>
        </w:rPr>
        <w:t>that decline in cost efficiency has</w:t>
      </w:r>
      <w:r w:rsidRPr="00E63513">
        <w:rPr>
          <w:rFonts w:asciiTheme="majorBidi" w:eastAsia="Times New Roman" w:hAnsiTheme="majorBidi" w:cstheme="majorBidi"/>
          <w:color w:val="000000" w:themeColor="text1"/>
        </w:rPr>
        <w:t xml:space="preserve"> a negative impact on </w:t>
      </w:r>
      <w:r w:rsidR="00712C7F" w:rsidRPr="00E63513">
        <w:rPr>
          <w:rFonts w:asciiTheme="majorBidi" w:eastAsia="Times New Roman" w:hAnsiTheme="majorBidi" w:cstheme="majorBidi"/>
          <w:color w:val="000000" w:themeColor="text1"/>
        </w:rPr>
        <w:t xml:space="preserve">the </w:t>
      </w:r>
      <w:r w:rsidR="00B25A7C"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w:t>
      </w:r>
    </w:p>
    <w:p w:rsidR="00833046" w:rsidRPr="00E63513" w:rsidRDefault="00712C7F" w:rsidP="00F236DC">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 xml:space="preserve">In terms of </w:t>
      </w:r>
      <w:r w:rsidR="00833046" w:rsidRPr="00E63513">
        <w:rPr>
          <w:rFonts w:asciiTheme="majorBidi" w:eastAsia="Times New Roman" w:hAnsiTheme="majorBidi" w:cstheme="majorBidi"/>
          <w:color w:val="000000" w:themeColor="text1"/>
        </w:rPr>
        <w:t xml:space="preserve">liquidity risk, the effect of loans to total deposit ratio (LIQR1) is also negative and significant on Tobin's Q, MB, and ROE at 1% level, implying that conventional banks with a higher proportion of loans in their loan portfolios </w:t>
      </w:r>
      <w:r w:rsidRPr="00E63513">
        <w:rPr>
          <w:rFonts w:asciiTheme="majorBidi" w:eastAsia="Times New Roman" w:hAnsiTheme="majorBidi" w:cstheme="majorBidi"/>
          <w:color w:val="000000" w:themeColor="text1"/>
        </w:rPr>
        <w:t>have lower</w:t>
      </w:r>
      <w:r w:rsidR="00833046" w:rsidRPr="00E63513">
        <w:rPr>
          <w:rFonts w:asciiTheme="majorBidi" w:eastAsia="Times New Roman" w:hAnsiTheme="majorBidi" w:cstheme="majorBidi"/>
          <w:color w:val="000000" w:themeColor="text1"/>
        </w:rPr>
        <w:t xml:space="preserve"> shareholders’ value. Similarly, liquid assets to total assets (LIQR2) is negatively significantly association with only Tobin's Q and MB at 10% level, meaning that </w:t>
      </w:r>
      <w:r w:rsidR="00F236DC" w:rsidRPr="00E63513">
        <w:rPr>
          <w:rFonts w:asciiTheme="majorBidi" w:eastAsia="Times New Roman" w:hAnsiTheme="majorBidi" w:cstheme="majorBidi"/>
          <w:color w:val="000000" w:themeColor="text1"/>
        </w:rPr>
        <w:t xml:space="preserve">higher liquidity </w:t>
      </w:r>
      <w:r w:rsidR="00833046" w:rsidRPr="00E63513">
        <w:rPr>
          <w:rFonts w:asciiTheme="majorBidi" w:eastAsia="Times New Roman" w:hAnsiTheme="majorBidi" w:cstheme="majorBidi"/>
          <w:color w:val="000000" w:themeColor="text1"/>
        </w:rPr>
        <w:t xml:space="preserve">with more liquidity lowers </w:t>
      </w:r>
      <w:r w:rsidR="00F236DC" w:rsidRPr="00E63513">
        <w:rPr>
          <w:rFonts w:asciiTheme="majorBidi" w:eastAsia="Times New Roman" w:hAnsiTheme="majorBidi" w:cstheme="majorBidi"/>
          <w:color w:val="000000" w:themeColor="text1"/>
        </w:rPr>
        <w:t>the shareholders’</w:t>
      </w:r>
      <w:r w:rsidR="00833046" w:rsidRPr="00E63513">
        <w:rPr>
          <w:rFonts w:asciiTheme="majorBidi" w:eastAsia="Times New Roman" w:hAnsiTheme="majorBidi" w:cstheme="majorBidi"/>
          <w:color w:val="000000" w:themeColor="text1"/>
        </w:rPr>
        <w:t xml:space="preserve"> value</w:t>
      </w:r>
      <w:r w:rsidR="00F236DC" w:rsidRPr="00E63513">
        <w:rPr>
          <w:rFonts w:asciiTheme="majorBidi" w:eastAsia="Times New Roman" w:hAnsiTheme="majorBidi" w:cstheme="majorBidi"/>
          <w:color w:val="000000" w:themeColor="text1"/>
        </w:rPr>
        <w:t xml:space="preserve"> of conventional banks</w:t>
      </w:r>
      <w:r w:rsidR="00833046" w:rsidRPr="00E63513">
        <w:rPr>
          <w:rFonts w:asciiTheme="majorBidi" w:eastAsia="Times New Roman" w:hAnsiTheme="majorBidi" w:cstheme="majorBidi"/>
          <w:color w:val="000000" w:themeColor="text1"/>
        </w:rPr>
        <w:t xml:space="preserve">. Finally, bank size (SIZE) has a negative and significant effect on Tobin's Q, and MB, suggesting that the larger the </w:t>
      </w:r>
      <w:r w:rsidR="00F236DC" w:rsidRPr="00E63513">
        <w:rPr>
          <w:rFonts w:asciiTheme="majorBidi" w:eastAsia="Times New Roman" w:hAnsiTheme="majorBidi" w:cstheme="majorBidi"/>
          <w:color w:val="000000" w:themeColor="text1"/>
        </w:rPr>
        <w:t xml:space="preserve">bank, the lower is </w:t>
      </w:r>
      <w:r w:rsidR="00833046" w:rsidRPr="00E63513">
        <w:rPr>
          <w:rFonts w:asciiTheme="majorBidi" w:eastAsia="Times New Roman" w:hAnsiTheme="majorBidi" w:cstheme="majorBidi"/>
          <w:color w:val="000000" w:themeColor="text1"/>
        </w:rPr>
        <w:t>the shareholders’ value</w:t>
      </w:r>
      <w:r w:rsidR="00F236DC" w:rsidRPr="00E63513">
        <w:rPr>
          <w:rFonts w:asciiTheme="majorBidi" w:eastAsia="Times New Roman" w:hAnsiTheme="majorBidi" w:cstheme="majorBidi"/>
          <w:color w:val="000000" w:themeColor="text1"/>
        </w:rPr>
        <w:t xml:space="preserve"> of conventional banks</w:t>
      </w:r>
      <w:r w:rsidR="00833046" w:rsidRPr="00E63513">
        <w:rPr>
          <w:rFonts w:asciiTheme="majorBidi" w:eastAsia="Times New Roman" w:hAnsiTheme="majorBidi" w:cstheme="majorBidi"/>
          <w:color w:val="000000" w:themeColor="text1"/>
        </w:rPr>
        <w:t>.</w:t>
      </w:r>
    </w:p>
    <w:p w:rsidR="00833046" w:rsidRPr="00E63513" w:rsidRDefault="00833046" w:rsidP="00833046">
      <w:pPr>
        <w:spacing w:after="0" w:line="240" w:lineRule="auto"/>
        <w:ind w:firstLine="720"/>
        <w:jc w:val="both"/>
        <w:rPr>
          <w:rFonts w:asciiTheme="majorBidi" w:eastAsia="Times New Roman" w:hAnsiTheme="majorBidi" w:cstheme="majorBidi"/>
          <w:color w:val="000000" w:themeColor="text1"/>
        </w:rPr>
      </w:pPr>
    </w:p>
    <w:p w:rsidR="00FF0E2B" w:rsidRPr="00E63513" w:rsidRDefault="00FF0E2B" w:rsidP="00E174F5">
      <w:pPr>
        <w:spacing w:after="0" w:line="240" w:lineRule="auto"/>
        <w:jc w:val="both"/>
        <w:rPr>
          <w:rFonts w:asciiTheme="majorBidi" w:eastAsia="Times New Roman" w:hAnsiTheme="majorBidi" w:cstheme="majorBidi"/>
          <w:color w:val="000000" w:themeColor="text1"/>
        </w:rPr>
      </w:pPr>
    </w:p>
    <w:p w:rsidR="002D6B21" w:rsidRPr="00E63513" w:rsidRDefault="002D6B21" w:rsidP="00E174F5">
      <w:pPr>
        <w:spacing w:after="0" w:line="240" w:lineRule="auto"/>
        <w:jc w:val="both"/>
        <w:rPr>
          <w:rFonts w:asciiTheme="majorBidi" w:eastAsia="Times New Roman" w:hAnsiTheme="majorBidi" w:cstheme="majorBidi"/>
          <w:color w:val="000000" w:themeColor="text1"/>
        </w:rPr>
      </w:pPr>
    </w:p>
    <w:p w:rsidR="002D6B21" w:rsidRPr="00E63513" w:rsidRDefault="002D6B21" w:rsidP="00E174F5">
      <w:pPr>
        <w:spacing w:after="0" w:line="240" w:lineRule="auto"/>
        <w:jc w:val="both"/>
        <w:rPr>
          <w:rFonts w:asciiTheme="majorBidi" w:eastAsia="Times New Roman" w:hAnsiTheme="majorBidi" w:cstheme="majorBidi"/>
          <w:color w:val="000000" w:themeColor="text1"/>
        </w:rPr>
      </w:pPr>
    </w:p>
    <w:p w:rsidR="002D6B21" w:rsidRPr="00E63513" w:rsidRDefault="002D6B21" w:rsidP="00E174F5">
      <w:pPr>
        <w:spacing w:after="0" w:line="240" w:lineRule="auto"/>
        <w:jc w:val="both"/>
        <w:rPr>
          <w:rFonts w:asciiTheme="majorBidi" w:eastAsia="Times New Roman" w:hAnsiTheme="majorBidi" w:cstheme="majorBidi"/>
          <w:color w:val="000000" w:themeColor="text1"/>
        </w:rPr>
      </w:pPr>
    </w:p>
    <w:p w:rsidR="002D6B21" w:rsidRPr="00E63513" w:rsidRDefault="002D6B21" w:rsidP="00E174F5">
      <w:pPr>
        <w:spacing w:after="0" w:line="240" w:lineRule="auto"/>
        <w:jc w:val="both"/>
        <w:rPr>
          <w:rFonts w:asciiTheme="majorBidi" w:eastAsia="Times New Roman" w:hAnsiTheme="majorBidi" w:cstheme="majorBidi"/>
          <w:color w:val="000000" w:themeColor="text1"/>
        </w:rPr>
      </w:pPr>
    </w:p>
    <w:p w:rsidR="002D6B21" w:rsidRPr="00E63513" w:rsidRDefault="002D6B21" w:rsidP="00E174F5">
      <w:pPr>
        <w:spacing w:after="0" w:line="240" w:lineRule="auto"/>
        <w:jc w:val="both"/>
        <w:rPr>
          <w:rFonts w:asciiTheme="majorBidi" w:eastAsia="Times New Roman" w:hAnsiTheme="majorBidi" w:cstheme="majorBidi"/>
          <w:color w:val="000000" w:themeColor="text1"/>
        </w:rPr>
      </w:pPr>
    </w:p>
    <w:tbl>
      <w:tblPr>
        <w:tblW w:w="9843" w:type="dxa"/>
        <w:tblInd w:w="93" w:type="dxa"/>
        <w:tblLayout w:type="fixed"/>
        <w:tblLook w:val="04A0" w:firstRow="1" w:lastRow="0" w:firstColumn="1" w:lastColumn="0" w:noHBand="0" w:noVBand="1"/>
      </w:tblPr>
      <w:tblGrid>
        <w:gridCol w:w="2009"/>
        <w:gridCol w:w="1133"/>
        <w:gridCol w:w="1057"/>
        <w:gridCol w:w="1124"/>
        <w:gridCol w:w="236"/>
        <w:gridCol w:w="854"/>
        <w:gridCol w:w="1133"/>
        <w:gridCol w:w="1057"/>
        <w:gridCol w:w="1240"/>
      </w:tblGrid>
      <w:tr w:rsidR="00E63513" w:rsidRPr="00E63513" w:rsidTr="000C42FC">
        <w:trPr>
          <w:trHeight w:val="285"/>
        </w:trPr>
        <w:tc>
          <w:tcPr>
            <w:tcW w:w="9843" w:type="dxa"/>
            <w:gridSpan w:val="9"/>
            <w:tcBorders>
              <w:bottom w:val="single" w:sz="4" w:space="0" w:color="auto"/>
            </w:tcBorders>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lastRenderedPageBreak/>
              <w:t>Table 6: Regression results for conventional banks in Saudi Arabia</w:t>
            </w:r>
          </w:p>
        </w:tc>
      </w:tr>
      <w:tr w:rsidR="00E63513" w:rsidRPr="00E63513" w:rsidTr="000C42FC">
        <w:trPr>
          <w:trHeight w:val="285"/>
        </w:trPr>
        <w:tc>
          <w:tcPr>
            <w:tcW w:w="2009" w:type="dxa"/>
            <w:tcBorders>
              <w:top w:val="single" w:sz="4" w:space="0" w:color="auto"/>
            </w:tcBorders>
            <w:shd w:val="clear" w:color="auto" w:fill="auto"/>
            <w:noWrap/>
            <w:vAlign w:val="center"/>
            <w:hideMark/>
          </w:tcPr>
          <w:p w:rsidR="00337014" w:rsidRPr="00E63513" w:rsidRDefault="00337014" w:rsidP="001153BA">
            <w:pPr>
              <w:spacing w:after="0" w:line="240" w:lineRule="auto"/>
              <w:jc w:val="center"/>
              <w:rPr>
                <w:rFonts w:asciiTheme="majorBidi" w:eastAsia="Times New Roman" w:hAnsiTheme="majorBidi" w:cstheme="majorBidi"/>
                <w:color w:val="000000" w:themeColor="text1"/>
                <w:sz w:val="20"/>
                <w:szCs w:val="20"/>
              </w:rPr>
            </w:pPr>
          </w:p>
        </w:tc>
        <w:tc>
          <w:tcPr>
            <w:tcW w:w="3314" w:type="dxa"/>
            <w:gridSpan w:val="3"/>
            <w:tcBorders>
              <w:top w:val="single" w:sz="4" w:space="0" w:color="auto"/>
              <w:bottom w:val="single" w:sz="4" w:space="0" w:color="auto"/>
            </w:tcBorders>
            <w:shd w:val="clear" w:color="auto" w:fill="auto"/>
            <w:noWrap/>
            <w:vAlign w:val="center"/>
          </w:tcPr>
          <w:p w:rsidR="00337014" w:rsidRPr="00E63513" w:rsidRDefault="00337014" w:rsidP="00FF02B9">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Pooled OLS</w:t>
            </w:r>
          </w:p>
        </w:tc>
        <w:tc>
          <w:tcPr>
            <w:tcW w:w="236" w:type="dxa"/>
            <w:tcBorders>
              <w:top w:val="single" w:sz="4" w:space="0" w:color="auto"/>
            </w:tcBorders>
            <w:vAlign w:val="center"/>
          </w:tcPr>
          <w:p w:rsidR="00337014" w:rsidRPr="00E63513" w:rsidRDefault="00337014" w:rsidP="00FF02B9">
            <w:pPr>
              <w:spacing w:after="0" w:line="240" w:lineRule="auto"/>
              <w:jc w:val="center"/>
              <w:rPr>
                <w:rFonts w:asciiTheme="majorBidi" w:eastAsia="Times New Roman" w:hAnsiTheme="majorBidi" w:cstheme="majorBidi"/>
                <w:b/>
                <w:bCs/>
                <w:color w:val="000000" w:themeColor="text1"/>
                <w:sz w:val="20"/>
                <w:szCs w:val="20"/>
              </w:rPr>
            </w:pPr>
          </w:p>
        </w:tc>
        <w:tc>
          <w:tcPr>
            <w:tcW w:w="4284" w:type="dxa"/>
            <w:gridSpan w:val="4"/>
            <w:tcBorders>
              <w:top w:val="single" w:sz="4" w:space="0" w:color="auto"/>
              <w:bottom w:val="single" w:sz="4" w:space="0" w:color="auto"/>
            </w:tcBorders>
            <w:vAlign w:val="center"/>
          </w:tcPr>
          <w:p w:rsidR="00337014" w:rsidRPr="00E63513" w:rsidRDefault="00337014" w:rsidP="00FF02B9">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Random Effects</w:t>
            </w:r>
          </w:p>
        </w:tc>
      </w:tr>
      <w:tr w:rsidR="00E63513" w:rsidRPr="00E63513" w:rsidTr="000C42FC">
        <w:trPr>
          <w:trHeight w:val="285"/>
        </w:trPr>
        <w:tc>
          <w:tcPr>
            <w:tcW w:w="2009"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Variables</w:t>
            </w:r>
          </w:p>
        </w:tc>
        <w:tc>
          <w:tcPr>
            <w:tcW w:w="1133" w:type="dxa"/>
            <w:tcBorders>
              <w:bottom w:val="single" w:sz="4" w:space="0" w:color="auto"/>
            </w:tcBorders>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057" w:type="dxa"/>
            <w:tcBorders>
              <w:bottom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124" w:type="dxa"/>
            <w:tcBorders>
              <w:bottom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Borders>
              <w:bottom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057" w:type="dxa"/>
            <w:tcBorders>
              <w:bottom w:val="single" w:sz="4" w:space="0" w:color="auto"/>
            </w:tcBorders>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240" w:type="dxa"/>
            <w:tcBorders>
              <w:bottom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r>
      <w:tr w:rsidR="00E63513" w:rsidRPr="00E63513" w:rsidTr="000C42FC">
        <w:trPr>
          <w:trHeight w:val="285"/>
        </w:trPr>
        <w:tc>
          <w:tcPr>
            <w:tcW w:w="2009" w:type="dxa"/>
            <w:tcBorders>
              <w:bottom w:val="single" w:sz="4" w:space="0" w:color="auto"/>
            </w:tcBorders>
            <w:shd w:val="clear" w:color="auto" w:fill="auto"/>
            <w:noWrap/>
            <w:vAlign w:val="center"/>
          </w:tcPr>
          <w:p w:rsidR="008A22F7" w:rsidRPr="00E63513" w:rsidRDefault="008A22F7" w:rsidP="001153BA">
            <w:pPr>
              <w:spacing w:after="0" w:line="240" w:lineRule="auto"/>
              <w:rPr>
                <w:rFonts w:asciiTheme="majorBidi" w:eastAsia="Times New Roman" w:hAnsiTheme="majorBidi" w:cstheme="majorBidi"/>
                <w:color w:val="000000" w:themeColor="text1"/>
                <w:sz w:val="20"/>
                <w:szCs w:val="20"/>
              </w:rPr>
            </w:pPr>
          </w:p>
        </w:tc>
        <w:tc>
          <w:tcPr>
            <w:tcW w:w="1133" w:type="dxa"/>
            <w:tcBorders>
              <w:top w:val="single" w:sz="4" w:space="0" w:color="auto"/>
              <w:bottom w:val="single" w:sz="4" w:space="0" w:color="auto"/>
            </w:tcBorders>
            <w:shd w:val="clear" w:color="auto" w:fill="auto"/>
            <w:noWrap/>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1057"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w:t>
            </w:r>
          </w:p>
        </w:tc>
        <w:tc>
          <w:tcPr>
            <w:tcW w:w="1124"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w:t>
            </w:r>
          </w:p>
        </w:tc>
        <w:tc>
          <w:tcPr>
            <w:tcW w:w="1090" w:type="dxa"/>
            <w:gridSpan w:val="2"/>
            <w:tcBorders>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p>
        </w:tc>
        <w:tc>
          <w:tcPr>
            <w:tcW w:w="1133"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057" w:type="dxa"/>
            <w:tcBorders>
              <w:top w:val="single" w:sz="4" w:space="0" w:color="auto"/>
              <w:bottom w:val="single" w:sz="4" w:space="0" w:color="auto"/>
            </w:tcBorders>
            <w:shd w:val="clear" w:color="auto" w:fill="auto"/>
            <w:noWrap/>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w:t>
            </w:r>
          </w:p>
        </w:tc>
        <w:tc>
          <w:tcPr>
            <w:tcW w:w="1240"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w:t>
            </w:r>
          </w:p>
        </w:tc>
      </w:tr>
      <w:tr w:rsidR="00E63513" w:rsidRPr="00E63513" w:rsidTr="000C42FC">
        <w:trPr>
          <w:trHeight w:val="285"/>
        </w:trPr>
        <w:tc>
          <w:tcPr>
            <w:tcW w:w="2009" w:type="dxa"/>
            <w:tcBorders>
              <w:top w:val="single" w:sz="4" w:space="0" w:color="auto"/>
            </w:tcBorders>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1133" w:type="dxa"/>
            <w:tcBorders>
              <w:top w:val="single" w:sz="4" w:space="0" w:color="auto"/>
            </w:tcBorders>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-.031***</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(-2.98)</w:t>
            </w:r>
          </w:p>
        </w:tc>
        <w:tc>
          <w:tcPr>
            <w:tcW w:w="1057" w:type="dxa"/>
            <w:tcBorders>
              <w:top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-.027**</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(-2.48)   </w:t>
            </w:r>
          </w:p>
        </w:tc>
        <w:tc>
          <w:tcPr>
            <w:tcW w:w="1124" w:type="dxa"/>
            <w:tcBorders>
              <w:top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-1.686***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(-7.70)   </w:t>
            </w:r>
          </w:p>
        </w:tc>
        <w:tc>
          <w:tcPr>
            <w:tcW w:w="1090" w:type="dxa"/>
            <w:gridSpan w:val="2"/>
            <w:tcBorders>
              <w:top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Borders>
              <w:top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-.031***</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(-2.98)   </w:t>
            </w:r>
          </w:p>
        </w:tc>
        <w:tc>
          <w:tcPr>
            <w:tcW w:w="1057" w:type="dxa"/>
            <w:tcBorders>
              <w:top w:val="single" w:sz="4" w:space="0" w:color="auto"/>
            </w:tcBorders>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-.027**</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(-2.48)   </w:t>
            </w:r>
          </w:p>
        </w:tc>
        <w:tc>
          <w:tcPr>
            <w:tcW w:w="1240" w:type="dxa"/>
            <w:tcBorders>
              <w:top w:val="single" w:sz="4" w:space="0" w:color="auto"/>
            </w:tcBorders>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-1.686***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(-7.70)   </w:t>
            </w:r>
          </w:p>
        </w:tc>
      </w:tr>
      <w:tr w:rsidR="00E63513" w:rsidRPr="00E63513" w:rsidTr="000C42FC">
        <w:trPr>
          <w:trHeight w:val="285"/>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(-1.72)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-.034*</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(-1.94)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-.960***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(-3.45)   </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(-1.72)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-.034*</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(-1.94)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-.960***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(-3.45)   </w:t>
            </w:r>
          </w:p>
        </w:tc>
      </w:tr>
      <w:tr w:rsidR="00E63513" w:rsidRPr="00E63513" w:rsidTr="000C42FC">
        <w:trPr>
          <w:trHeight w:val="285"/>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-.015***</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(-3.68)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-.013***</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(-3.17)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-.486***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(-5.94)  </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-.015***</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(-3.68)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-.013***</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(-3.17)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-.486***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(-5.94)   </w:t>
            </w:r>
          </w:p>
        </w:tc>
      </w:tr>
      <w:tr w:rsidR="00E63513" w:rsidRPr="00E63513" w:rsidTr="000C42FC">
        <w:trPr>
          <w:trHeight w:val="285"/>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LIQRI</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(-2.80)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(-3.08)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(-2.64)   </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(-2.80)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(-3.08)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-.156***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(-2.64)   </w:t>
            </w:r>
          </w:p>
        </w:tc>
      </w:tr>
      <w:tr w:rsidR="00E63513" w:rsidRPr="00E63513" w:rsidTr="000C42FC">
        <w:trPr>
          <w:trHeight w:val="285"/>
        </w:trPr>
        <w:tc>
          <w:tcPr>
            <w:tcW w:w="2009" w:type="dxa"/>
            <w:shd w:val="clear" w:color="auto" w:fill="auto"/>
            <w:noWrap/>
            <w:vAlign w:val="bottom"/>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LIQR2 </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-.011*</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(-1.72)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(-1.36)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(0.67)   </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(-1.72)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(-1.36)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.030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(0.67)   </w:t>
            </w:r>
          </w:p>
        </w:tc>
      </w:tr>
      <w:tr w:rsidR="00E63513" w:rsidRPr="00E63513" w:rsidTr="000C42FC">
        <w:trPr>
          <w:trHeight w:val="285"/>
        </w:trPr>
        <w:tc>
          <w:tcPr>
            <w:tcW w:w="2009" w:type="dxa"/>
            <w:shd w:val="clear" w:color="auto" w:fill="auto"/>
            <w:noWrap/>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-.111**</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(-2.31)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(-2.90)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1.102</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(1.21)   </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-.111**</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(-2.31)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-.140***</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(-2.90)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1.102</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(1.21)   </w:t>
            </w:r>
          </w:p>
        </w:tc>
      </w:tr>
      <w:tr w:rsidR="00E63513" w:rsidRPr="00E63513" w:rsidTr="000C42FC">
        <w:trPr>
          <w:trHeight w:val="311"/>
        </w:trPr>
        <w:tc>
          <w:tcPr>
            <w:tcW w:w="2009"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Constant</w:t>
            </w:r>
          </w:p>
        </w:tc>
        <w:tc>
          <w:tcPr>
            <w:tcW w:w="1133"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4.726***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(5.95)   </w:t>
            </w:r>
          </w:p>
        </w:tc>
        <w:tc>
          <w:tcPr>
            <w:tcW w:w="1057"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4.429***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(5.45)   </w:t>
            </w:r>
          </w:p>
        </w:tc>
        <w:tc>
          <w:tcPr>
            <w:tcW w:w="1124"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 9.33***</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(3.33)</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4.726***</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(5.95)   </w:t>
            </w:r>
          </w:p>
        </w:tc>
        <w:tc>
          <w:tcPr>
            <w:tcW w:w="1057" w:type="dxa"/>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4.429***</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(5.45)   </w:t>
            </w:r>
          </w:p>
        </w:tc>
        <w:tc>
          <w:tcPr>
            <w:tcW w:w="1240" w:type="dxa"/>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49.35***</w:t>
            </w:r>
          </w:p>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(3.33)   </w:t>
            </w:r>
          </w:p>
        </w:tc>
      </w:tr>
      <w:tr w:rsidR="00E63513" w:rsidRPr="00E63513" w:rsidTr="000C42FC">
        <w:trPr>
          <w:trHeight w:val="113"/>
        </w:trPr>
        <w:tc>
          <w:tcPr>
            <w:tcW w:w="2009" w:type="dxa"/>
            <w:shd w:val="clear" w:color="auto" w:fill="auto"/>
            <w:noWrap/>
            <w:vAlign w:val="bottom"/>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Observation </w:t>
            </w:r>
          </w:p>
        </w:tc>
        <w:tc>
          <w:tcPr>
            <w:tcW w:w="1133" w:type="dxa"/>
            <w:shd w:val="clear" w:color="auto" w:fill="auto"/>
            <w:noWrap/>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c>
          <w:tcPr>
            <w:tcW w:w="1057" w:type="dxa"/>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c>
          <w:tcPr>
            <w:tcW w:w="1124" w:type="dxa"/>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c>
          <w:tcPr>
            <w:tcW w:w="1090" w:type="dxa"/>
            <w:gridSpan w:val="2"/>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c>
          <w:tcPr>
            <w:tcW w:w="1057" w:type="dxa"/>
            <w:shd w:val="clear" w:color="auto" w:fill="auto"/>
            <w:noWrap/>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c>
          <w:tcPr>
            <w:tcW w:w="1240" w:type="dxa"/>
            <w:vAlign w:val="bottom"/>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105</w:t>
            </w:r>
          </w:p>
        </w:tc>
      </w:tr>
      <w:tr w:rsidR="00E63513" w:rsidRPr="00E63513" w:rsidTr="000C42FC">
        <w:trPr>
          <w:trHeight w:val="193"/>
        </w:trPr>
        <w:tc>
          <w:tcPr>
            <w:tcW w:w="2009"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No of banks</w:t>
            </w:r>
          </w:p>
        </w:tc>
        <w:tc>
          <w:tcPr>
            <w:tcW w:w="1133"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c>
          <w:tcPr>
            <w:tcW w:w="1057"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c>
          <w:tcPr>
            <w:tcW w:w="1124"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c>
          <w:tcPr>
            <w:tcW w:w="1090" w:type="dxa"/>
            <w:gridSpan w:val="2"/>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c>
          <w:tcPr>
            <w:tcW w:w="1057"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c>
          <w:tcPr>
            <w:tcW w:w="1240"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7</w:t>
            </w:r>
          </w:p>
        </w:tc>
      </w:tr>
      <w:tr w:rsidR="00E63513" w:rsidRPr="00E63513" w:rsidTr="000C42FC">
        <w:trPr>
          <w:trHeight w:val="184"/>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m:oMath>
              <m:sSup>
                <m:sSupPr>
                  <m:ctrlPr>
                    <w:rPr>
                      <w:rFonts w:ascii="Cambria Math" w:eastAsia="Times New Roman" w:hAnsi="Cambria Math" w:cstheme="majorBidi"/>
                      <w:color w:val="000000" w:themeColor="text1"/>
                      <w:sz w:val="20"/>
                      <w:szCs w:val="20"/>
                    </w:rPr>
                  </m:ctrlPr>
                </m:sSupPr>
                <m:e>
                  <m:r>
                    <w:rPr>
                      <w:rFonts w:ascii="Cambria Math" w:eastAsia="Times New Roman" w:hAnsi="Cambria Math" w:cstheme="majorBidi"/>
                      <w:color w:val="000000" w:themeColor="text1"/>
                      <w:sz w:val="20"/>
                      <w:szCs w:val="20"/>
                    </w:rPr>
                    <m:t>R</m:t>
                  </m:r>
                </m:e>
                <m:sup>
                  <m:r>
                    <m:rPr>
                      <m:sty m:val="p"/>
                    </m:rPr>
                    <w:rPr>
                      <w:rFonts w:ascii="Cambria Math" w:eastAsia="Times New Roman" w:hAnsi="Cambria Math" w:cstheme="majorBidi"/>
                      <w:color w:val="000000" w:themeColor="text1"/>
                      <w:sz w:val="20"/>
                      <w:szCs w:val="20"/>
                    </w:rPr>
                    <m:t>2</m:t>
                  </m:r>
                </m:sup>
              </m:sSup>
            </m:oMath>
          </w:p>
        </w:tc>
        <w:tc>
          <w:tcPr>
            <w:tcW w:w="1133"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0.421</w:t>
            </w:r>
          </w:p>
        </w:tc>
        <w:tc>
          <w:tcPr>
            <w:tcW w:w="1057"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0.431</w:t>
            </w:r>
          </w:p>
        </w:tc>
        <w:tc>
          <w:tcPr>
            <w:tcW w:w="1124"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0.538</w:t>
            </w:r>
          </w:p>
        </w:tc>
        <w:tc>
          <w:tcPr>
            <w:tcW w:w="1090" w:type="dxa"/>
            <w:gridSpan w:val="2"/>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0.514</w:t>
            </w:r>
          </w:p>
        </w:tc>
        <w:tc>
          <w:tcPr>
            <w:tcW w:w="1057"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0.535</w:t>
            </w:r>
          </w:p>
        </w:tc>
        <w:tc>
          <w:tcPr>
            <w:tcW w:w="1240"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0.542                         </w:t>
            </w:r>
          </w:p>
        </w:tc>
      </w:tr>
      <w:tr w:rsidR="00E63513" w:rsidRPr="00E63513" w:rsidTr="000C42FC">
        <w:trPr>
          <w:trHeight w:val="157"/>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F</w:t>
            </w:r>
          </w:p>
        </w:tc>
        <w:tc>
          <w:tcPr>
            <w:tcW w:w="1133"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10.04</w:t>
            </w:r>
          </w:p>
        </w:tc>
        <w:tc>
          <w:tcPr>
            <w:tcW w:w="1057"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10.35</w:t>
            </w:r>
          </w:p>
        </w:tc>
        <w:tc>
          <w:tcPr>
            <w:tcW w:w="1124"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20.39</w:t>
            </w:r>
          </w:p>
        </w:tc>
        <w:tc>
          <w:tcPr>
            <w:tcW w:w="1090" w:type="dxa"/>
            <w:gridSpan w:val="2"/>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60.26</w:t>
            </w:r>
          </w:p>
        </w:tc>
        <w:tc>
          <w:tcPr>
            <w:tcW w:w="1057"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62.11</w:t>
            </w:r>
          </w:p>
        </w:tc>
        <w:tc>
          <w:tcPr>
            <w:tcW w:w="1240"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122.32</w:t>
            </w:r>
          </w:p>
        </w:tc>
      </w:tr>
      <w:tr w:rsidR="00E63513" w:rsidRPr="00E63513" w:rsidTr="000C42FC">
        <w:trPr>
          <w:trHeight w:val="66"/>
        </w:trPr>
        <w:tc>
          <w:tcPr>
            <w:tcW w:w="2009" w:type="dxa"/>
            <w:shd w:val="clear" w:color="auto" w:fill="auto"/>
            <w:noWrap/>
            <w:vAlign w:val="center"/>
            <w:hideMark/>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Sig. F-value</w:t>
            </w:r>
          </w:p>
        </w:tc>
        <w:tc>
          <w:tcPr>
            <w:tcW w:w="1133"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57"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124"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90" w:type="dxa"/>
            <w:gridSpan w:val="2"/>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57" w:type="dxa"/>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240" w:type="dxa"/>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r>
      <w:tr w:rsidR="00E63513" w:rsidRPr="00E63513" w:rsidTr="000C42FC">
        <w:trPr>
          <w:trHeight w:val="185"/>
        </w:trPr>
        <w:tc>
          <w:tcPr>
            <w:tcW w:w="2009" w:type="dxa"/>
            <w:tcBorders>
              <w:bottom w:val="single" w:sz="4" w:space="0" w:color="auto"/>
            </w:tcBorders>
            <w:shd w:val="clear" w:color="auto" w:fill="auto"/>
            <w:noWrap/>
            <w:vAlign w:val="center"/>
          </w:tcPr>
          <w:p w:rsidR="00337014" w:rsidRPr="00E63513" w:rsidRDefault="00337014" w:rsidP="002D6B21">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Hausman test P-value</w:t>
            </w:r>
          </w:p>
        </w:tc>
        <w:tc>
          <w:tcPr>
            <w:tcW w:w="1133" w:type="dxa"/>
            <w:tcBorders>
              <w:bottom w:val="single" w:sz="4" w:space="0" w:color="auto"/>
            </w:tcBorders>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057" w:type="dxa"/>
            <w:tcBorders>
              <w:bottom w:val="single" w:sz="4" w:space="0" w:color="auto"/>
            </w:tcBorders>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24" w:type="dxa"/>
            <w:tcBorders>
              <w:bottom w:val="single" w:sz="4" w:space="0" w:color="auto"/>
            </w:tcBorders>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090" w:type="dxa"/>
            <w:gridSpan w:val="2"/>
            <w:tcBorders>
              <w:bottom w:val="single" w:sz="4" w:space="0" w:color="auto"/>
            </w:tcBorders>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p>
        </w:tc>
        <w:tc>
          <w:tcPr>
            <w:tcW w:w="1133" w:type="dxa"/>
            <w:tcBorders>
              <w:bottom w:val="single" w:sz="4" w:space="0" w:color="auto"/>
            </w:tcBorders>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0.0677</w:t>
            </w:r>
          </w:p>
        </w:tc>
        <w:tc>
          <w:tcPr>
            <w:tcW w:w="1057" w:type="dxa"/>
            <w:tcBorders>
              <w:bottom w:val="single" w:sz="4" w:space="0" w:color="auto"/>
            </w:tcBorders>
            <w:shd w:val="clear" w:color="auto" w:fill="auto"/>
            <w:noWrap/>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0.0795</w:t>
            </w:r>
          </w:p>
        </w:tc>
        <w:tc>
          <w:tcPr>
            <w:tcW w:w="1240" w:type="dxa"/>
            <w:tcBorders>
              <w:bottom w:val="single" w:sz="4" w:space="0" w:color="auto"/>
            </w:tcBorders>
            <w:vAlign w:val="center"/>
          </w:tcPr>
          <w:p w:rsidR="00337014" w:rsidRPr="00E63513" w:rsidRDefault="00337014"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0.0848</w:t>
            </w:r>
          </w:p>
        </w:tc>
      </w:tr>
      <w:tr w:rsidR="00E63513" w:rsidRPr="00E63513" w:rsidTr="000C42FC">
        <w:trPr>
          <w:trHeight w:val="185"/>
        </w:trPr>
        <w:tc>
          <w:tcPr>
            <w:tcW w:w="9843" w:type="dxa"/>
            <w:gridSpan w:val="9"/>
            <w:tcBorders>
              <w:top w:val="single" w:sz="4" w:space="0" w:color="auto"/>
            </w:tcBorders>
            <w:shd w:val="clear" w:color="auto" w:fill="auto"/>
            <w:noWrap/>
          </w:tcPr>
          <w:p w:rsidR="00337014" w:rsidRPr="00E63513" w:rsidRDefault="00337014" w:rsidP="001153BA">
            <w:pPr>
              <w:spacing w:after="0" w:line="240" w:lineRule="auto"/>
              <w:rPr>
                <w:rFonts w:asciiTheme="majorBidi" w:eastAsia="Times New Roman" w:hAnsiTheme="majorBidi" w:cstheme="majorBidi"/>
                <w:color w:val="000000" w:themeColor="text1"/>
                <w:sz w:val="16"/>
                <w:szCs w:val="16"/>
              </w:rPr>
            </w:pPr>
            <w:r w:rsidRPr="00E63513">
              <w:rPr>
                <w:rFonts w:asciiTheme="majorBidi" w:eastAsia="Times New Roman" w:hAnsiTheme="majorBidi" w:cstheme="majorBidi"/>
                <w:color w:val="000000" w:themeColor="text1"/>
                <w:sz w:val="16"/>
                <w:szCs w:val="16"/>
              </w:rPr>
              <w:t>Note:  The values in parentheses are t-Statistics. **Significant at the %1 level, **Significant at the %5 level, *Significant at the %10 level.</w:t>
            </w:r>
          </w:p>
        </w:tc>
      </w:tr>
    </w:tbl>
    <w:p w:rsidR="00F30F47" w:rsidRPr="00E63513" w:rsidRDefault="00F30F47" w:rsidP="00E174F5">
      <w:pPr>
        <w:spacing w:after="0" w:line="240" w:lineRule="auto"/>
        <w:ind w:firstLine="720"/>
        <w:jc w:val="both"/>
        <w:rPr>
          <w:rFonts w:asciiTheme="majorBidi" w:eastAsia="Times New Roman" w:hAnsiTheme="majorBidi" w:cstheme="majorBidi"/>
          <w:color w:val="000000" w:themeColor="text1"/>
        </w:rPr>
      </w:pPr>
    </w:p>
    <w:p w:rsidR="0011243B" w:rsidRPr="00E63513" w:rsidRDefault="0011243B" w:rsidP="00E174F5">
      <w:pPr>
        <w:spacing w:after="0" w:line="240" w:lineRule="auto"/>
        <w:jc w:val="both"/>
        <w:rPr>
          <w:rFonts w:asciiTheme="majorBidi" w:eastAsia="Times New Roman" w:hAnsiTheme="majorBidi" w:cstheme="majorBidi"/>
          <w:b/>
          <w:bCs/>
          <w:color w:val="000000" w:themeColor="text1"/>
        </w:rPr>
      </w:pPr>
    </w:p>
    <w:p w:rsidR="00492D53" w:rsidRPr="00E63513" w:rsidRDefault="00492D53" w:rsidP="00E174F5">
      <w:pPr>
        <w:spacing w:after="0" w:line="240" w:lineRule="auto"/>
        <w:jc w:val="both"/>
        <w:rPr>
          <w:rFonts w:asciiTheme="majorBidi" w:hAnsiTheme="majorBidi" w:cstheme="majorBidi"/>
          <w:b/>
          <w:bCs/>
          <w:color w:val="000000" w:themeColor="text1"/>
        </w:rPr>
      </w:pPr>
      <w:r w:rsidRPr="00E63513">
        <w:rPr>
          <w:rFonts w:asciiTheme="majorBidi" w:eastAsia="Times New Roman" w:hAnsiTheme="majorBidi" w:cstheme="majorBidi"/>
          <w:b/>
          <w:bCs/>
          <w:color w:val="000000" w:themeColor="text1"/>
        </w:rPr>
        <w:t>4.3.2.</w:t>
      </w:r>
      <w:r w:rsidRPr="00E63513">
        <w:rPr>
          <w:rFonts w:asciiTheme="majorBidi" w:hAnsiTheme="majorBidi" w:cstheme="majorBidi"/>
          <w:b/>
          <w:bCs/>
          <w:color w:val="000000" w:themeColor="text1"/>
        </w:rPr>
        <w:t xml:space="preserve"> Islamic banks </w:t>
      </w:r>
    </w:p>
    <w:p w:rsidR="0011243B" w:rsidRPr="00E63513" w:rsidRDefault="0011243B" w:rsidP="00E174F5">
      <w:pPr>
        <w:spacing w:after="0" w:line="240" w:lineRule="auto"/>
        <w:ind w:firstLine="720"/>
        <w:jc w:val="both"/>
        <w:rPr>
          <w:rFonts w:asciiTheme="majorBidi" w:hAnsiTheme="majorBidi" w:cstheme="majorBidi"/>
          <w:color w:val="000000" w:themeColor="text1"/>
        </w:rPr>
      </w:pPr>
    </w:p>
    <w:p w:rsidR="007F19C7" w:rsidRPr="00E63513" w:rsidRDefault="0011243B" w:rsidP="00CE312A">
      <w:pPr>
        <w:spacing w:after="0" w:line="240" w:lineRule="auto"/>
        <w:ind w:firstLine="720"/>
        <w:jc w:val="both"/>
        <w:rPr>
          <w:rFonts w:asciiTheme="majorBidi" w:hAnsiTheme="majorBidi" w:cstheme="majorBidi"/>
          <w:color w:val="000000" w:themeColor="text1"/>
        </w:rPr>
      </w:pPr>
      <w:r w:rsidRPr="00E63513">
        <w:rPr>
          <w:rFonts w:asciiTheme="majorBidi" w:hAnsiTheme="majorBidi" w:cstheme="majorBidi"/>
          <w:color w:val="000000" w:themeColor="text1"/>
        </w:rPr>
        <w:t>Table 7 reports the estimation resul</w:t>
      </w:r>
      <w:r w:rsidR="009567FC" w:rsidRPr="00E63513">
        <w:rPr>
          <w:rFonts w:asciiTheme="majorBidi" w:hAnsiTheme="majorBidi" w:cstheme="majorBidi"/>
          <w:color w:val="000000" w:themeColor="text1"/>
        </w:rPr>
        <w:t>ts of Eq. (1) for Islamic banks</w:t>
      </w:r>
      <w:r w:rsidRPr="00E63513">
        <w:rPr>
          <w:rFonts w:asciiTheme="majorBidi" w:hAnsiTheme="majorBidi" w:cstheme="majorBidi"/>
          <w:color w:val="000000" w:themeColor="text1"/>
        </w:rPr>
        <w:t xml:space="preserve"> </w:t>
      </w:r>
      <w:r w:rsidR="009567FC" w:rsidRPr="00E63513">
        <w:rPr>
          <w:rFonts w:asciiTheme="majorBidi" w:hAnsiTheme="majorBidi" w:cstheme="majorBidi"/>
          <w:color w:val="000000" w:themeColor="text1"/>
        </w:rPr>
        <w:t>shareholders’</w:t>
      </w:r>
      <w:r w:rsidR="0008361E" w:rsidRPr="00E63513">
        <w:rPr>
          <w:rFonts w:asciiTheme="majorBidi" w:hAnsiTheme="majorBidi" w:cstheme="majorBidi"/>
          <w:color w:val="000000" w:themeColor="text1"/>
        </w:rPr>
        <w:t xml:space="preserve"> value</w:t>
      </w:r>
      <w:r w:rsidRPr="00E63513">
        <w:rPr>
          <w:rFonts w:asciiTheme="majorBidi" w:hAnsiTheme="majorBidi" w:cstheme="majorBidi"/>
          <w:color w:val="000000" w:themeColor="text1"/>
        </w:rPr>
        <w:t xml:space="preserve"> measured by Tobin's Q, MB, and ROE in Saudi </w:t>
      </w:r>
      <w:r w:rsidR="00CE312A" w:rsidRPr="00E63513">
        <w:rPr>
          <w:rFonts w:asciiTheme="majorBidi" w:hAnsiTheme="majorBidi" w:cstheme="majorBidi"/>
          <w:color w:val="000000" w:themeColor="text1"/>
        </w:rPr>
        <w:t>Arabia. The</w:t>
      </w:r>
      <w:r w:rsidRPr="00E63513">
        <w:rPr>
          <w:rFonts w:asciiTheme="majorBidi" w:hAnsiTheme="majorBidi" w:cstheme="majorBidi"/>
          <w:color w:val="000000" w:themeColor="text1"/>
        </w:rPr>
        <w:t xml:space="preserve"> estimation results of pooled</w:t>
      </w:r>
      <w:r w:rsidR="009A19DD" w:rsidRPr="00E63513">
        <w:rPr>
          <w:rFonts w:asciiTheme="majorBidi" w:hAnsiTheme="majorBidi" w:cstheme="majorBidi"/>
          <w:color w:val="000000" w:themeColor="text1"/>
        </w:rPr>
        <w:t xml:space="preserve"> OLS</w:t>
      </w:r>
      <w:r w:rsidRPr="00E63513">
        <w:rPr>
          <w:rFonts w:asciiTheme="majorBidi" w:hAnsiTheme="majorBidi" w:cstheme="majorBidi"/>
          <w:color w:val="000000" w:themeColor="text1"/>
        </w:rPr>
        <w:t xml:space="preserve"> estimations are reported in Columns 1–3, whereas the results of the random effect</w:t>
      </w:r>
      <w:r w:rsidR="009A19DD" w:rsidRPr="00E63513">
        <w:rPr>
          <w:rFonts w:asciiTheme="majorBidi" w:hAnsiTheme="majorBidi" w:cstheme="majorBidi"/>
          <w:color w:val="000000" w:themeColor="text1"/>
        </w:rPr>
        <w:t>s</w:t>
      </w:r>
      <w:r w:rsidRPr="00E63513">
        <w:rPr>
          <w:rFonts w:asciiTheme="majorBidi" w:hAnsiTheme="majorBidi" w:cstheme="majorBidi"/>
          <w:color w:val="000000" w:themeColor="text1"/>
        </w:rPr>
        <w:t xml:space="preserve"> </w:t>
      </w:r>
      <w:r w:rsidR="009A19DD" w:rsidRPr="00E63513">
        <w:rPr>
          <w:rFonts w:asciiTheme="majorBidi" w:hAnsiTheme="majorBidi" w:cstheme="majorBidi"/>
          <w:color w:val="000000" w:themeColor="text1"/>
        </w:rPr>
        <w:t>model</w:t>
      </w:r>
      <w:r w:rsidRPr="00E63513">
        <w:rPr>
          <w:rFonts w:asciiTheme="majorBidi" w:hAnsiTheme="majorBidi" w:cstheme="majorBidi"/>
          <w:color w:val="000000" w:themeColor="text1"/>
        </w:rPr>
        <w:t xml:space="preserve"> are recorded in Columns 4–6. The Wald test and Hausman test results </w:t>
      </w:r>
      <w:r w:rsidR="009A19DD" w:rsidRPr="00E63513">
        <w:rPr>
          <w:rFonts w:asciiTheme="majorBidi" w:hAnsiTheme="majorBidi" w:cstheme="majorBidi"/>
          <w:color w:val="000000" w:themeColor="text1"/>
        </w:rPr>
        <w:t>suggest that the random effects model is</w:t>
      </w:r>
      <w:r w:rsidR="00833046" w:rsidRPr="00E63513">
        <w:rPr>
          <w:rFonts w:asciiTheme="majorBidi" w:hAnsiTheme="majorBidi" w:cstheme="majorBidi"/>
          <w:color w:val="000000" w:themeColor="text1"/>
        </w:rPr>
        <w:t xml:space="preserve"> more appropriate.</w:t>
      </w:r>
      <w:r w:rsidR="00833046" w:rsidRPr="00E63513">
        <w:rPr>
          <w:rFonts w:asciiTheme="majorBidi" w:eastAsia="Times New Roman" w:hAnsiTheme="majorBidi" w:cstheme="majorBidi"/>
          <w:color w:val="000000" w:themeColor="text1"/>
        </w:rPr>
        <w:t xml:space="preserve"> </w:t>
      </w:r>
      <w:r w:rsidR="00BD4D57" w:rsidRPr="00E63513">
        <w:rPr>
          <w:rFonts w:asciiTheme="majorBidi" w:eastAsia="Times New Roman" w:hAnsiTheme="majorBidi" w:cstheme="majorBidi"/>
          <w:color w:val="000000" w:themeColor="text1"/>
        </w:rPr>
        <w:t>Similar</w:t>
      </w:r>
      <w:r w:rsidR="00833046" w:rsidRPr="00E63513">
        <w:rPr>
          <w:rFonts w:asciiTheme="majorBidi" w:eastAsia="Times New Roman" w:hAnsiTheme="majorBidi" w:cstheme="majorBidi"/>
          <w:color w:val="000000" w:themeColor="text1"/>
        </w:rPr>
        <w:t xml:space="preserve"> coefficients and signs for all variables are found by both </w:t>
      </w:r>
      <w:r w:rsidR="00BD4D57" w:rsidRPr="00E63513">
        <w:rPr>
          <w:rFonts w:asciiTheme="majorBidi" w:eastAsia="Times New Roman" w:hAnsiTheme="majorBidi" w:cstheme="majorBidi"/>
          <w:color w:val="000000" w:themeColor="text1"/>
        </w:rPr>
        <w:t>pooled OLS and random effects model.</w:t>
      </w:r>
    </w:p>
    <w:p w:rsidR="000C42FC" w:rsidRPr="00E63513" w:rsidRDefault="000C42FC" w:rsidP="000C42FC">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Table 7 shows that CAR and AQ for Islamic banks are negative but insignificantly related to Tobin's Q and MB; they have a negative and significant association with ROE at the 5% and 1% level respectively. These indicate that higher capital ratio and credit risk do not have any significant impact on shareholders’ value of Islamic banks but they lead to a reduction in ROE. Operating expenses to total income (OE) has a negative and significant impact on Tobin's Q, MB, and ROE, implying that declines in cost efficiency lead to decrease in shareholders’ value of Islamic banks.</w:t>
      </w:r>
    </w:p>
    <w:p w:rsidR="008A22F7" w:rsidRPr="00E63513" w:rsidRDefault="000C42FC" w:rsidP="000C42FC">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Moreover, the relationship between loans to total deposit ratio (LIQR1) and Tobin's Q, MB, and ROE are positive and significant, which indicates that Islamic banks are active in lending activities have a higher contribution to shareholders’ value; which also indicates their expertise in the management including monitoring and control of their loan book.</w:t>
      </w:r>
      <w:r w:rsidRPr="00E63513">
        <w:rPr>
          <w:rFonts w:asciiTheme="majorBidi" w:hAnsiTheme="majorBidi" w:cstheme="majorBidi"/>
          <w:color w:val="000000" w:themeColor="text1"/>
        </w:rPr>
        <w:t xml:space="preserve"> </w:t>
      </w:r>
      <w:r w:rsidRPr="00E63513">
        <w:rPr>
          <w:rFonts w:asciiTheme="majorBidi" w:eastAsia="Times New Roman" w:hAnsiTheme="majorBidi" w:cstheme="majorBidi"/>
          <w:color w:val="000000" w:themeColor="text1"/>
        </w:rPr>
        <w:t xml:space="preserve">Meanwhile, liquid assets to total assets (LIQR2) is not significantly association with Tobin’s Q and MB, while positively and significantly related to ROE, </w:t>
      </w:r>
      <w:r w:rsidRPr="00E63513">
        <w:rPr>
          <w:rFonts w:asciiTheme="majorBidi" w:eastAsia="Times New Roman" w:hAnsiTheme="majorBidi" w:cstheme="majorBidi"/>
          <w:bCs/>
          <w:color w:val="000000" w:themeColor="text1"/>
        </w:rPr>
        <w:t>implying that bank's liquidity has no effect on shareholders’ value but only on ROE.</w:t>
      </w:r>
      <w:r w:rsidRPr="00E63513">
        <w:rPr>
          <w:rFonts w:asciiTheme="majorBidi" w:eastAsia="Times New Roman" w:hAnsiTheme="majorBidi" w:cstheme="majorBidi"/>
          <w:color w:val="000000" w:themeColor="text1"/>
        </w:rPr>
        <w:t xml:space="preserve"> Lastly, the relationship between SIZE and Islamic banks shareholders’ value (Tobin's Q and MB) is also negative and significant, while it is negative but insignificant with ROE. These indicate that smaller banks have a higher shareholders’ value.</w:t>
      </w:r>
    </w:p>
    <w:p w:rsidR="000C42FC" w:rsidRPr="00E63513" w:rsidRDefault="000C42FC" w:rsidP="000C42FC">
      <w:pPr>
        <w:spacing w:after="0" w:line="240" w:lineRule="auto"/>
        <w:ind w:firstLine="720"/>
        <w:jc w:val="both"/>
        <w:rPr>
          <w:rFonts w:asciiTheme="majorBidi" w:hAnsiTheme="majorBidi" w:cstheme="majorBidi"/>
          <w:color w:val="000000" w:themeColor="text1"/>
        </w:rPr>
      </w:pPr>
    </w:p>
    <w:p w:rsidR="008A22F7" w:rsidRPr="00E63513" w:rsidRDefault="008A22F7" w:rsidP="00E174F5">
      <w:pPr>
        <w:spacing w:after="0" w:line="240" w:lineRule="auto"/>
        <w:ind w:firstLine="720"/>
        <w:jc w:val="both"/>
        <w:rPr>
          <w:rFonts w:asciiTheme="majorBidi" w:hAnsiTheme="majorBidi" w:cstheme="majorBidi"/>
          <w:color w:val="000000" w:themeColor="text1"/>
        </w:rPr>
      </w:pPr>
    </w:p>
    <w:p w:rsidR="007F19C7" w:rsidRPr="00E63513" w:rsidRDefault="007F19C7" w:rsidP="00E174F5">
      <w:pPr>
        <w:spacing w:after="0" w:line="240" w:lineRule="auto"/>
        <w:jc w:val="both"/>
        <w:rPr>
          <w:rFonts w:asciiTheme="majorBidi" w:hAnsiTheme="majorBidi" w:cstheme="majorBidi"/>
          <w:b/>
          <w:bCs/>
          <w:color w:val="000000" w:themeColor="text1"/>
        </w:rPr>
      </w:pPr>
    </w:p>
    <w:tbl>
      <w:tblPr>
        <w:tblW w:w="9843" w:type="dxa"/>
        <w:tblInd w:w="93" w:type="dxa"/>
        <w:tblLayout w:type="fixed"/>
        <w:tblLook w:val="04A0" w:firstRow="1" w:lastRow="0" w:firstColumn="1" w:lastColumn="0" w:noHBand="0" w:noVBand="1"/>
      </w:tblPr>
      <w:tblGrid>
        <w:gridCol w:w="2009"/>
        <w:gridCol w:w="1133"/>
        <w:gridCol w:w="1057"/>
        <w:gridCol w:w="1124"/>
        <w:gridCol w:w="236"/>
        <w:gridCol w:w="854"/>
        <w:gridCol w:w="1133"/>
        <w:gridCol w:w="1057"/>
        <w:gridCol w:w="1240"/>
      </w:tblGrid>
      <w:tr w:rsidR="00E63513" w:rsidRPr="00E63513" w:rsidTr="005F21C3">
        <w:trPr>
          <w:trHeight w:val="285"/>
        </w:trPr>
        <w:tc>
          <w:tcPr>
            <w:tcW w:w="9843" w:type="dxa"/>
            <w:gridSpan w:val="9"/>
            <w:tcBorders>
              <w:bottom w:val="single" w:sz="4" w:space="0" w:color="auto"/>
            </w:tcBorders>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lastRenderedPageBreak/>
              <w:t>Table 7: Regression results for Islamic banks in Saudi Arabia</w:t>
            </w:r>
          </w:p>
        </w:tc>
      </w:tr>
      <w:tr w:rsidR="00E63513" w:rsidRPr="00E63513" w:rsidTr="005F21C3">
        <w:trPr>
          <w:trHeight w:val="285"/>
        </w:trPr>
        <w:tc>
          <w:tcPr>
            <w:tcW w:w="2009" w:type="dxa"/>
            <w:tcBorders>
              <w:top w:val="single" w:sz="4" w:space="0" w:color="auto"/>
            </w:tcBorders>
            <w:shd w:val="clear" w:color="auto" w:fill="auto"/>
            <w:noWrap/>
            <w:vAlign w:val="center"/>
            <w:hideMark/>
          </w:tcPr>
          <w:p w:rsidR="00EF5C7B" w:rsidRPr="00E63513" w:rsidRDefault="00EF5C7B" w:rsidP="001153BA">
            <w:pPr>
              <w:spacing w:after="0" w:line="240" w:lineRule="auto"/>
              <w:jc w:val="center"/>
              <w:rPr>
                <w:rFonts w:asciiTheme="majorBidi" w:eastAsia="Times New Roman" w:hAnsiTheme="majorBidi" w:cstheme="majorBidi"/>
                <w:color w:val="000000" w:themeColor="text1"/>
                <w:sz w:val="20"/>
                <w:szCs w:val="20"/>
              </w:rPr>
            </w:pPr>
          </w:p>
        </w:tc>
        <w:tc>
          <w:tcPr>
            <w:tcW w:w="3314" w:type="dxa"/>
            <w:gridSpan w:val="3"/>
            <w:tcBorders>
              <w:top w:val="single" w:sz="4" w:space="0" w:color="auto"/>
              <w:bottom w:val="single" w:sz="4" w:space="0" w:color="auto"/>
            </w:tcBorders>
            <w:shd w:val="clear" w:color="auto" w:fill="auto"/>
            <w:noWrap/>
            <w:vAlign w:val="center"/>
          </w:tcPr>
          <w:p w:rsidR="00EF5C7B" w:rsidRPr="00E63513" w:rsidRDefault="00EF5C7B" w:rsidP="001153BA">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Pooled OLS</w:t>
            </w:r>
          </w:p>
        </w:tc>
        <w:tc>
          <w:tcPr>
            <w:tcW w:w="236" w:type="dxa"/>
            <w:tcBorders>
              <w:top w:val="single" w:sz="4" w:space="0" w:color="auto"/>
            </w:tcBorders>
          </w:tcPr>
          <w:p w:rsidR="00EF5C7B" w:rsidRPr="00E63513" w:rsidRDefault="00EF5C7B" w:rsidP="001153BA">
            <w:pPr>
              <w:spacing w:after="0" w:line="240" w:lineRule="auto"/>
              <w:jc w:val="center"/>
              <w:rPr>
                <w:rFonts w:asciiTheme="majorBidi" w:eastAsia="Times New Roman" w:hAnsiTheme="majorBidi" w:cstheme="majorBidi"/>
                <w:b/>
                <w:bCs/>
                <w:color w:val="000000" w:themeColor="text1"/>
                <w:sz w:val="20"/>
                <w:szCs w:val="20"/>
              </w:rPr>
            </w:pPr>
          </w:p>
        </w:tc>
        <w:tc>
          <w:tcPr>
            <w:tcW w:w="4284" w:type="dxa"/>
            <w:gridSpan w:val="4"/>
            <w:tcBorders>
              <w:top w:val="single" w:sz="4" w:space="0" w:color="auto"/>
              <w:bottom w:val="single" w:sz="4" w:space="0" w:color="auto"/>
            </w:tcBorders>
          </w:tcPr>
          <w:p w:rsidR="00EF5C7B" w:rsidRPr="00E63513" w:rsidRDefault="00EF5C7B" w:rsidP="001153BA">
            <w:pPr>
              <w:spacing w:after="0" w:line="240" w:lineRule="auto"/>
              <w:jc w:val="cente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t>Random Effects</w:t>
            </w:r>
          </w:p>
        </w:tc>
      </w:tr>
      <w:tr w:rsidR="00E63513" w:rsidRPr="00E63513" w:rsidTr="005F21C3">
        <w:trPr>
          <w:trHeight w:val="285"/>
        </w:trPr>
        <w:tc>
          <w:tcPr>
            <w:tcW w:w="2009"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Variables</w:t>
            </w:r>
          </w:p>
        </w:tc>
        <w:tc>
          <w:tcPr>
            <w:tcW w:w="1133" w:type="dxa"/>
            <w:tcBorders>
              <w:bottom w:val="single" w:sz="4" w:space="0" w:color="auto"/>
            </w:tcBorders>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057" w:type="dxa"/>
            <w:tcBorders>
              <w:bottom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124" w:type="dxa"/>
            <w:tcBorders>
              <w:bottom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Borders>
              <w:bottom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Tobin’s Q</w:t>
            </w:r>
          </w:p>
        </w:tc>
        <w:tc>
          <w:tcPr>
            <w:tcW w:w="1057" w:type="dxa"/>
            <w:tcBorders>
              <w:bottom w:val="single" w:sz="4" w:space="0" w:color="auto"/>
            </w:tcBorders>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MB</w:t>
            </w:r>
          </w:p>
        </w:tc>
        <w:tc>
          <w:tcPr>
            <w:tcW w:w="1240" w:type="dxa"/>
            <w:tcBorders>
              <w:bottom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ROE</w:t>
            </w:r>
          </w:p>
        </w:tc>
      </w:tr>
      <w:tr w:rsidR="00E63513" w:rsidRPr="00E63513" w:rsidTr="005F21C3">
        <w:trPr>
          <w:trHeight w:val="285"/>
        </w:trPr>
        <w:tc>
          <w:tcPr>
            <w:tcW w:w="2009" w:type="dxa"/>
            <w:tcBorders>
              <w:bottom w:val="single" w:sz="4" w:space="0" w:color="auto"/>
            </w:tcBorders>
            <w:shd w:val="clear" w:color="auto" w:fill="auto"/>
            <w:noWrap/>
            <w:vAlign w:val="center"/>
          </w:tcPr>
          <w:p w:rsidR="008A22F7" w:rsidRPr="00E63513" w:rsidRDefault="008A22F7" w:rsidP="001153BA">
            <w:pPr>
              <w:spacing w:after="0" w:line="240" w:lineRule="auto"/>
              <w:rPr>
                <w:rFonts w:asciiTheme="majorBidi" w:eastAsia="Times New Roman" w:hAnsiTheme="majorBidi" w:cstheme="majorBidi"/>
                <w:color w:val="000000" w:themeColor="text1"/>
                <w:sz w:val="20"/>
                <w:szCs w:val="20"/>
              </w:rPr>
            </w:pPr>
          </w:p>
        </w:tc>
        <w:tc>
          <w:tcPr>
            <w:tcW w:w="1133" w:type="dxa"/>
            <w:tcBorders>
              <w:top w:val="single" w:sz="4" w:space="0" w:color="auto"/>
              <w:bottom w:val="single" w:sz="4" w:space="0" w:color="auto"/>
            </w:tcBorders>
            <w:shd w:val="clear" w:color="auto" w:fill="auto"/>
            <w:noWrap/>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w:t>
            </w:r>
          </w:p>
        </w:tc>
        <w:tc>
          <w:tcPr>
            <w:tcW w:w="1057"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w:t>
            </w:r>
          </w:p>
        </w:tc>
        <w:tc>
          <w:tcPr>
            <w:tcW w:w="1124"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w:t>
            </w:r>
          </w:p>
        </w:tc>
        <w:tc>
          <w:tcPr>
            <w:tcW w:w="1090" w:type="dxa"/>
            <w:gridSpan w:val="2"/>
            <w:tcBorders>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p>
        </w:tc>
        <w:tc>
          <w:tcPr>
            <w:tcW w:w="1133"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057" w:type="dxa"/>
            <w:tcBorders>
              <w:top w:val="single" w:sz="4" w:space="0" w:color="auto"/>
              <w:bottom w:val="single" w:sz="4" w:space="0" w:color="auto"/>
            </w:tcBorders>
            <w:shd w:val="clear" w:color="auto" w:fill="auto"/>
            <w:noWrap/>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w:t>
            </w:r>
          </w:p>
        </w:tc>
        <w:tc>
          <w:tcPr>
            <w:tcW w:w="1240" w:type="dxa"/>
            <w:tcBorders>
              <w:top w:val="single" w:sz="4" w:space="0" w:color="auto"/>
              <w:bottom w:val="single" w:sz="4" w:space="0" w:color="auto"/>
            </w:tcBorders>
          </w:tcPr>
          <w:p w:rsidR="008A22F7" w:rsidRPr="00E63513" w:rsidRDefault="008A22F7" w:rsidP="00032D98">
            <w:pPr>
              <w:spacing w:after="0" w:line="240" w:lineRule="auto"/>
              <w:jc w:val="cente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w:t>
            </w:r>
          </w:p>
        </w:tc>
      </w:tr>
      <w:tr w:rsidR="00E63513" w:rsidRPr="00E63513" w:rsidTr="005F21C3">
        <w:trPr>
          <w:trHeight w:val="285"/>
        </w:trPr>
        <w:tc>
          <w:tcPr>
            <w:tcW w:w="2009" w:type="dxa"/>
            <w:tcBorders>
              <w:top w:val="single" w:sz="4" w:space="0" w:color="auto"/>
            </w:tcBorders>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1133" w:type="dxa"/>
            <w:tcBorders>
              <w:top w:val="single" w:sz="4" w:space="0" w:color="auto"/>
            </w:tcBorders>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-.013</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(-1.24)</w:t>
            </w:r>
          </w:p>
        </w:tc>
        <w:tc>
          <w:tcPr>
            <w:tcW w:w="1057" w:type="dxa"/>
            <w:tcBorders>
              <w:top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-.002</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(-0.23)   </w:t>
            </w:r>
          </w:p>
        </w:tc>
        <w:tc>
          <w:tcPr>
            <w:tcW w:w="1124" w:type="dxa"/>
            <w:tcBorders>
              <w:top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-.384**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(-2.48)   </w:t>
            </w:r>
          </w:p>
        </w:tc>
        <w:tc>
          <w:tcPr>
            <w:tcW w:w="1090" w:type="dxa"/>
            <w:gridSpan w:val="2"/>
            <w:tcBorders>
              <w:top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Borders>
              <w:top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-.013</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(-1.24)</w:t>
            </w:r>
          </w:p>
        </w:tc>
        <w:tc>
          <w:tcPr>
            <w:tcW w:w="1057" w:type="dxa"/>
            <w:tcBorders>
              <w:top w:val="single" w:sz="4" w:space="0" w:color="auto"/>
            </w:tcBorders>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-.002</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(-0.23)   </w:t>
            </w:r>
          </w:p>
        </w:tc>
        <w:tc>
          <w:tcPr>
            <w:tcW w:w="1240" w:type="dxa"/>
            <w:tcBorders>
              <w:top w:val="single" w:sz="4" w:space="0" w:color="auto"/>
            </w:tcBorders>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-.384**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(-2.48)   </w:t>
            </w:r>
          </w:p>
        </w:tc>
      </w:tr>
      <w:tr w:rsidR="00E63513" w:rsidRPr="00E63513" w:rsidTr="005F21C3">
        <w:trPr>
          <w:trHeight w:val="285"/>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(-0.01)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-.009</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(-0.21)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-.465*</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(-1.85)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(-0.01)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-.009</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(-0.21)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-.465*</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(-1.85)   </w:t>
            </w:r>
          </w:p>
        </w:tc>
      </w:tr>
      <w:tr w:rsidR="00E63513" w:rsidRPr="00E63513" w:rsidTr="005F21C3">
        <w:trPr>
          <w:trHeight w:val="285"/>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-.021***  </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(-5.23)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(-5.60)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-.503***</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(-7.89)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-.021***  </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(-5.23)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-.021***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(-5.60)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-.503***</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(-7.89)   </w:t>
            </w:r>
          </w:p>
        </w:tc>
      </w:tr>
      <w:tr w:rsidR="00E63513" w:rsidRPr="00E63513" w:rsidTr="005F21C3">
        <w:trPr>
          <w:trHeight w:val="285"/>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LIQRI</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.015**</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(2.70)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(2.81)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.219**</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(2.41)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.015**</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(2.70)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.014***</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(2.81)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.219**</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(2.41)   </w:t>
            </w:r>
          </w:p>
        </w:tc>
      </w:tr>
      <w:tr w:rsidR="00E63513" w:rsidRPr="00E63513" w:rsidTr="005F21C3">
        <w:trPr>
          <w:trHeight w:val="285"/>
        </w:trPr>
        <w:tc>
          <w:tcPr>
            <w:tcW w:w="2009" w:type="dxa"/>
            <w:shd w:val="clear" w:color="auto" w:fill="auto"/>
            <w:noWrap/>
            <w:vAlign w:val="bottom"/>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LIQR2 </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(0.69)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(0.61)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(2.16)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.008</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(0.69)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(0.61)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.371**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(2.16)   </w:t>
            </w:r>
          </w:p>
        </w:tc>
      </w:tr>
      <w:tr w:rsidR="00E63513" w:rsidRPr="00E63513" w:rsidTr="005F21C3">
        <w:trPr>
          <w:trHeight w:val="285"/>
        </w:trPr>
        <w:tc>
          <w:tcPr>
            <w:tcW w:w="2009" w:type="dxa"/>
            <w:shd w:val="clear" w:color="auto" w:fill="auto"/>
            <w:noWrap/>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-.298***</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(-3.44)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(-3.67)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-2.037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(-1.46)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-.298***</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(-3.44)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-.297***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(-3.67)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-2.037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(-1.46)   </w:t>
            </w:r>
          </w:p>
        </w:tc>
      </w:tr>
      <w:tr w:rsidR="00E63513" w:rsidRPr="00E63513" w:rsidTr="005F21C3">
        <w:trPr>
          <w:trHeight w:val="113"/>
        </w:trPr>
        <w:tc>
          <w:tcPr>
            <w:tcW w:w="2009"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Constant</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6.146***</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(3.56)   </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5.267***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(3.26)   </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54.91*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(1.97)   </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6.146***</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(3.56)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5.267***</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(3.26)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54.91*</w:t>
            </w:r>
          </w:p>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(1.97)   </w:t>
            </w:r>
          </w:p>
        </w:tc>
      </w:tr>
      <w:tr w:rsidR="00E63513" w:rsidRPr="00E63513" w:rsidTr="005F21C3">
        <w:trPr>
          <w:trHeight w:val="113"/>
        </w:trPr>
        <w:tc>
          <w:tcPr>
            <w:tcW w:w="2009" w:type="dxa"/>
            <w:shd w:val="clear" w:color="auto" w:fill="auto"/>
            <w:noWrap/>
            <w:vAlign w:val="bottom"/>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Observation </w:t>
            </w:r>
          </w:p>
        </w:tc>
        <w:tc>
          <w:tcPr>
            <w:tcW w:w="1133" w:type="dxa"/>
            <w:shd w:val="clear" w:color="auto" w:fill="auto"/>
            <w:noWrap/>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c>
          <w:tcPr>
            <w:tcW w:w="1057" w:type="dxa"/>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c>
          <w:tcPr>
            <w:tcW w:w="1124" w:type="dxa"/>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55</w:t>
            </w:r>
          </w:p>
        </w:tc>
        <w:tc>
          <w:tcPr>
            <w:tcW w:w="1090" w:type="dxa"/>
            <w:gridSpan w:val="2"/>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c>
          <w:tcPr>
            <w:tcW w:w="1057" w:type="dxa"/>
            <w:shd w:val="clear" w:color="auto" w:fill="auto"/>
            <w:noWrap/>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c>
          <w:tcPr>
            <w:tcW w:w="1240" w:type="dxa"/>
            <w:vAlign w:val="bottom"/>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51</w:t>
            </w:r>
          </w:p>
        </w:tc>
      </w:tr>
      <w:tr w:rsidR="00E63513" w:rsidRPr="00E63513" w:rsidTr="005F21C3">
        <w:trPr>
          <w:trHeight w:val="66"/>
        </w:trPr>
        <w:tc>
          <w:tcPr>
            <w:tcW w:w="2009"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No of banks</w:t>
            </w:r>
          </w:p>
        </w:tc>
        <w:tc>
          <w:tcPr>
            <w:tcW w:w="1133"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057"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124"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090" w:type="dxa"/>
            <w:gridSpan w:val="2"/>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057"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c>
          <w:tcPr>
            <w:tcW w:w="1240"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w:t>
            </w:r>
          </w:p>
        </w:tc>
      </w:tr>
      <w:tr w:rsidR="00E63513" w:rsidRPr="00E63513" w:rsidTr="005F21C3">
        <w:trPr>
          <w:trHeight w:val="98"/>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w:t>
            </w:r>
            <m:oMath>
              <m:sSup>
                <m:sSupPr>
                  <m:ctrlPr>
                    <w:rPr>
                      <w:rFonts w:ascii="Cambria Math" w:eastAsia="Times New Roman" w:hAnsi="Cambria Math" w:cstheme="majorBidi"/>
                      <w:color w:val="000000" w:themeColor="text1"/>
                      <w:sz w:val="20"/>
                      <w:szCs w:val="20"/>
                    </w:rPr>
                  </m:ctrlPr>
                </m:sSupPr>
                <m:e>
                  <m:r>
                    <w:rPr>
                      <w:rFonts w:ascii="Cambria Math" w:eastAsia="Times New Roman" w:hAnsi="Cambria Math" w:cstheme="majorBidi"/>
                      <w:color w:val="000000" w:themeColor="text1"/>
                      <w:sz w:val="20"/>
                      <w:szCs w:val="20"/>
                    </w:rPr>
                    <m:t>R</m:t>
                  </m:r>
                </m:e>
                <m:sup>
                  <m:r>
                    <m:rPr>
                      <m:sty m:val="p"/>
                    </m:rPr>
                    <w:rPr>
                      <w:rFonts w:ascii="Cambria Math" w:eastAsia="Times New Roman" w:hAnsi="Cambria Math" w:cstheme="majorBidi"/>
                      <w:color w:val="000000" w:themeColor="text1"/>
                      <w:sz w:val="20"/>
                      <w:szCs w:val="20"/>
                    </w:rPr>
                    <m:t>2</m:t>
                  </m:r>
                </m:sup>
              </m:sSup>
            </m:oMath>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0.545</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0.597</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0.761</w:t>
            </w:r>
          </w:p>
        </w:tc>
        <w:tc>
          <w:tcPr>
            <w:tcW w:w="1090" w:type="dxa"/>
            <w:gridSpan w:val="2"/>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0.514                         </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0.570                         </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0.6437                         </w:t>
            </w:r>
          </w:p>
        </w:tc>
      </w:tr>
      <w:tr w:rsidR="00E63513" w:rsidRPr="00E63513" w:rsidTr="005F21C3">
        <w:trPr>
          <w:trHeight w:val="66"/>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F</w:t>
            </w:r>
          </w:p>
        </w:tc>
        <w:tc>
          <w:tcPr>
            <w:tcW w:w="1133"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6.79</w:t>
            </w:r>
          </w:p>
        </w:tc>
        <w:tc>
          <w:tcPr>
            <w:tcW w:w="1057"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8.38</w:t>
            </w:r>
          </w:p>
        </w:tc>
        <w:tc>
          <w:tcPr>
            <w:tcW w:w="1124"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20.21</w:t>
            </w:r>
          </w:p>
        </w:tc>
        <w:tc>
          <w:tcPr>
            <w:tcW w:w="1090" w:type="dxa"/>
            <w:gridSpan w:val="2"/>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40.76</w:t>
            </w:r>
          </w:p>
        </w:tc>
        <w:tc>
          <w:tcPr>
            <w:tcW w:w="1057" w:type="dxa"/>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50.26</w:t>
            </w:r>
          </w:p>
        </w:tc>
        <w:tc>
          <w:tcPr>
            <w:tcW w:w="1240" w:type="dxa"/>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121.24</w:t>
            </w:r>
          </w:p>
        </w:tc>
      </w:tr>
      <w:tr w:rsidR="00E63513" w:rsidRPr="00E63513" w:rsidTr="005F21C3">
        <w:trPr>
          <w:trHeight w:val="66"/>
        </w:trPr>
        <w:tc>
          <w:tcPr>
            <w:tcW w:w="2009" w:type="dxa"/>
            <w:shd w:val="clear" w:color="auto" w:fill="auto"/>
            <w:noWrap/>
            <w:vAlign w:val="center"/>
            <w:hideMark/>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Sig. F-value</w:t>
            </w:r>
          </w:p>
        </w:tc>
        <w:tc>
          <w:tcPr>
            <w:tcW w:w="1133"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57"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124"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90" w:type="dxa"/>
            <w:gridSpan w:val="2"/>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057" w:type="dxa"/>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c>
          <w:tcPr>
            <w:tcW w:w="1240" w:type="dxa"/>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0.0000</w:t>
            </w:r>
          </w:p>
        </w:tc>
      </w:tr>
      <w:tr w:rsidR="00E63513" w:rsidRPr="00E63513" w:rsidTr="005F21C3">
        <w:trPr>
          <w:trHeight w:val="185"/>
        </w:trPr>
        <w:tc>
          <w:tcPr>
            <w:tcW w:w="2009" w:type="dxa"/>
            <w:tcBorders>
              <w:bottom w:val="single" w:sz="4" w:space="0" w:color="auto"/>
            </w:tcBorders>
            <w:shd w:val="clear" w:color="auto" w:fill="auto"/>
            <w:noWrap/>
            <w:vAlign w:val="center"/>
          </w:tcPr>
          <w:p w:rsidR="00EF5C7B" w:rsidRPr="00E63513" w:rsidRDefault="00EF5C7B" w:rsidP="000C42FC">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Hausman test P-value</w:t>
            </w:r>
          </w:p>
        </w:tc>
        <w:tc>
          <w:tcPr>
            <w:tcW w:w="1133" w:type="dxa"/>
            <w:tcBorders>
              <w:bottom w:val="single" w:sz="4" w:space="0" w:color="auto"/>
            </w:tcBorders>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057" w:type="dxa"/>
            <w:tcBorders>
              <w:bottom w:val="single" w:sz="4" w:space="0" w:color="auto"/>
            </w:tcBorders>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24" w:type="dxa"/>
            <w:tcBorders>
              <w:bottom w:val="single" w:sz="4" w:space="0" w:color="auto"/>
            </w:tcBorders>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090" w:type="dxa"/>
            <w:gridSpan w:val="2"/>
            <w:tcBorders>
              <w:bottom w:val="single" w:sz="4" w:space="0" w:color="auto"/>
            </w:tcBorders>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p>
        </w:tc>
        <w:tc>
          <w:tcPr>
            <w:tcW w:w="1133" w:type="dxa"/>
            <w:tcBorders>
              <w:bottom w:val="single" w:sz="4" w:space="0" w:color="auto"/>
            </w:tcBorders>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0.0553</w:t>
            </w:r>
          </w:p>
        </w:tc>
        <w:tc>
          <w:tcPr>
            <w:tcW w:w="1057" w:type="dxa"/>
            <w:tcBorders>
              <w:bottom w:val="single" w:sz="4" w:space="0" w:color="auto"/>
            </w:tcBorders>
            <w:shd w:val="clear" w:color="auto" w:fill="auto"/>
            <w:noWrap/>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0.0529</w:t>
            </w:r>
          </w:p>
        </w:tc>
        <w:tc>
          <w:tcPr>
            <w:tcW w:w="1240" w:type="dxa"/>
            <w:tcBorders>
              <w:bottom w:val="single" w:sz="4" w:space="0" w:color="auto"/>
            </w:tcBorders>
            <w:vAlign w:val="center"/>
          </w:tcPr>
          <w:p w:rsidR="00EF5C7B" w:rsidRPr="00E63513" w:rsidRDefault="00EF5C7B" w:rsidP="001153BA">
            <w:pPr>
              <w:spacing w:after="0" w:line="240" w:lineRule="auto"/>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0.0694</w:t>
            </w:r>
          </w:p>
        </w:tc>
      </w:tr>
      <w:tr w:rsidR="00E63513" w:rsidRPr="00E63513" w:rsidTr="005F21C3">
        <w:trPr>
          <w:trHeight w:val="185"/>
        </w:trPr>
        <w:tc>
          <w:tcPr>
            <w:tcW w:w="9843" w:type="dxa"/>
            <w:gridSpan w:val="9"/>
            <w:tcBorders>
              <w:top w:val="single" w:sz="4" w:space="0" w:color="auto"/>
            </w:tcBorders>
            <w:shd w:val="clear" w:color="auto" w:fill="auto"/>
            <w:noWrap/>
          </w:tcPr>
          <w:p w:rsidR="00EF5C7B" w:rsidRPr="00E63513" w:rsidRDefault="00EF5C7B" w:rsidP="001153BA">
            <w:pPr>
              <w:spacing w:after="0" w:line="240" w:lineRule="auto"/>
              <w:rPr>
                <w:rFonts w:asciiTheme="majorBidi" w:eastAsia="Times New Roman" w:hAnsiTheme="majorBidi" w:cstheme="majorBidi"/>
                <w:color w:val="000000" w:themeColor="text1"/>
                <w:sz w:val="16"/>
                <w:szCs w:val="16"/>
              </w:rPr>
            </w:pPr>
            <w:r w:rsidRPr="00E63513">
              <w:rPr>
                <w:rFonts w:asciiTheme="majorBidi" w:eastAsia="Times New Roman" w:hAnsiTheme="majorBidi" w:cstheme="majorBidi"/>
                <w:color w:val="000000" w:themeColor="text1"/>
                <w:sz w:val="16"/>
                <w:szCs w:val="16"/>
              </w:rPr>
              <w:t>Note:  The values in parentheses are t-Statistics. **Significant at the %1 level, **Significant at the %5 level, *Significant at the %10 level.</w:t>
            </w:r>
          </w:p>
        </w:tc>
      </w:tr>
    </w:tbl>
    <w:p w:rsidR="007F19C7" w:rsidRPr="00E63513" w:rsidRDefault="007F19C7" w:rsidP="00E174F5">
      <w:pPr>
        <w:spacing w:after="0" w:line="240" w:lineRule="auto"/>
        <w:jc w:val="both"/>
        <w:rPr>
          <w:rFonts w:asciiTheme="majorBidi" w:eastAsia="Times New Roman" w:hAnsiTheme="majorBidi" w:cstheme="majorBidi"/>
          <w:color w:val="000000" w:themeColor="text1"/>
        </w:rPr>
      </w:pPr>
    </w:p>
    <w:p w:rsidR="00131777" w:rsidRPr="00E63513" w:rsidRDefault="00131777" w:rsidP="00E174F5">
      <w:pPr>
        <w:spacing w:after="0" w:line="240" w:lineRule="auto"/>
        <w:outlineLvl w:val="1"/>
        <w:rPr>
          <w:rFonts w:asciiTheme="majorBidi" w:eastAsia="Times New Roman" w:hAnsiTheme="majorBidi" w:cstheme="majorBidi"/>
          <w:b/>
          <w:bCs/>
          <w:color w:val="000000" w:themeColor="text1"/>
        </w:rPr>
      </w:pPr>
    </w:p>
    <w:p w:rsidR="000A6F8B" w:rsidRPr="00E63513" w:rsidRDefault="000A6F8B" w:rsidP="0099373B">
      <w:pPr>
        <w:spacing w:after="0" w:line="240" w:lineRule="auto"/>
        <w:outlineLvl w:val="1"/>
        <w:rPr>
          <w:rFonts w:asciiTheme="majorBidi" w:eastAsia="Times New Roman" w:hAnsiTheme="majorBidi" w:cstheme="majorBidi"/>
          <w:b/>
          <w:bCs/>
          <w:color w:val="000000" w:themeColor="text1"/>
        </w:rPr>
      </w:pPr>
      <w:r w:rsidRPr="00E63513">
        <w:rPr>
          <w:rFonts w:asciiTheme="majorBidi" w:eastAsia="Times New Roman" w:hAnsiTheme="majorBidi" w:cstheme="majorBidi"/>
          <w:b/>
          <w:bCs/>
          <w:color w:val="000000" w:themeColor="text1"/>
        </w:rPr>
        <w:t xml:space="preserve">4.3.3. </w:t>
      </w:r>
      <w:r w:rsidR="00CE7A99" w:rsidRPr="00E63513">
        <w:rPr>
          <w:rFonts w:asciiTheme="majorBidi" w:eastAsia="Times New Roman" w:hAnsiTheme="majorBidi" w:cstheme="majorBidi"/>
          <w:b/>
          <w:bCs/>
          <w:color w:val="000000" w:themeColor="text1"/>
        </w:rPr>
        <w:t xml:space="preserve">Discussion on the empirical results </w:t>
      </w:r>
      <w:r w:rsidR="0099373B" w:rsidRPr="00E63513">
        <w:rPr>
          <w:rFonts w:asciiTheme="majorBidi" w:eastAsia="Times New Roman" w:hAnsiTheme="majorBidi" w:cstheme="majorBidi"/>
          <w:b/>
          <w:bCs/>
          <w:color w:val="000000" w:themeColor="text1"/>
        </w:rPr>
        <w:t xml:space="preserve">on comparative basis between </w:t>
      </w:r>
      <w:r w:rsidR="00CE7A99" w:rsidRPr="00E63513">
        <w:rPr>
          <w:rFonts w:asciiTheme="majorBidi" w:eastAsia="Times New Roman" w:hAnsiTheme="majorBidi" w:cstheme="majorBidi"/>
          <w:b/>
          <w:bCs/>
          <w:color w:val="000000" w:themeColor="text1"/>
        </w:rPr>
        <w:t xml:space="preserve">conventional and Islamic </w:t>
      </w:r>
      <w:r w:rsidR="0099373B" w:rsidRPr="00E63513">
        <w:rPr>
          <w:rFonts w:asciiTheme="majorBidi" w:eastAsia="Times New Roman" w:hAnsiTheme="majorBidi" w:cstheme="majorBidi"/>
          <w:b/>
          <w:bCs/>
          <w:color w:val="000000" w:themeColor="text1"/>
        </w:rPr>
        <w:t xml:space="preserve">    </w:t>
      </w:r>
      <w:r w:rsidR="00CE7A99" w:rsidRPr="00E63513">
        <w:rPr>
          <w:rFonts w:asciiTheme="majorBidi" w:eastAsia="Times New Roman" w:hAnsiTheme="majorBidi" w:cstheme="majorBidi"/>
          <w:b/>
          <w:bCs/>
          <w:color w:val="000000" w:themeColor="text1"/>
        </w:rPr>
        <w:t>banks</w:t>
      </w:r>
    </w:p>
    <w:p w:rsidR="000A6F8B" w:rsidRPr="00E63513" w:rsidRDefault="000A6F8B" w:rsidP="00E174F5">
      <w:pPr>
        <w:spacing w:after="0" w:line="240" w:lineRule="auto"/>
        <w:jc w:val="both"/>
        <w:rPr>
          <w:rFonts w:asciiTheme="majorBidi" w:eastAsia="Times New Roman" w:hAnsiTheme="majorBidi" w:cstheme="majorBidi"/>
          <w:b/>
          <w:bCs/>
          <w:color w:val="000000" w:themeColor="text1"/>
        </w:rPr>
      </w:pPr>
    </w:p>
    <w:p w:rsidR="000A6F8B" w:rsidRPr="00E63513" w:rsidRDefault="00131777" w:rsidP="00EF48FF">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 xml:space="preserve">As shown in Table 8, CAR and AQ have a negative and significant effect on all measures of bank </w:t>
      </w:r>
      <w:r w:rsidR="00C25C75"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Tobin's Q, MB, and ROE for conventional banks, while in the case of Islamic banks they are only significant and negative on ROE. These indicate that higher capital ratio and credit risk (lower quality of assets) leads to </w:t>
      </w:r>
      <w:r w:rsidR="005A472D" w:rsidRPr="00E63513">
        <w:rPr>
          <w:rFonts w:asciiTheme="majorBidi" w:eastAsia="Times New Roman" w:hAnsiTheme="majorBidi" w:cstheme="majorBidi"/>
          <w:color w:val="000000" w:themeColor="text1"/>
        </w:rPr>
        <w:t xml:space="preserve">a </w:t>
      </w:r>
      <w:r w:rsidRPr="00E63513">
        <w:rPr>
          <w:rFonts w:asciiTheme="majorBidi" w:eastAsia="Times New Roman" w:hAnsiTheme="majorBidi" w:cstheme="majorBidi"/>
          <w:color w:val="000000" w:themeColor="text1"/>
        </w:rPr>
        <w:t xml:space="preserve">decrease </w:t>
      </w:r>
      <w:r w:rsidR="005A472D" w:rsidRPr="00E63513">
        <w:rPr>
          <w:rFonts w:asciiTheme="majorBidi" w:eastAsia="Times New Roman" w:hAnsiTheme="majorBidi" w:cstheme="majorBidi"/>
          <w:color w:val="000000" w:themeColor="text1"/>
        </w:rPr>
        <w:t>in shareholders’</w:t>
      </w:r>
      <w:r w:rsidR="00C25C75" w:rsidRPr="00E63513">
        <w:rPr>
          <w:rFonts w:asciiTheme="majorBidi" w:eastAsia="Times New Roman" w:hAnsiTheme="majorBidi" w:cstheme="majorBidi"/>
          <w:color w:val="000000" w:themeColor="text1"/>
        </w:rPr>
        <w:t xml:space="preserve"> value</w:t>
      </w:r>
      <w:r w:rsidRPr="00E63513">
        <w:rPr>
          <w:rFonts w:asciiTheme="majorBidi" w:eastAsia="Times New Roman" w:hAnsiTheme="majorBidi" w:cstheme="majorBidi"/>
          <w:color w:val="000000" w:themeColor="text1"/>
        </w:rPr>
        <w:t xml:space="preserve"> for conventional banks, while </w:t>
      </w:r>
      <w:r w:rsidR="00EF48FF" w:rsidRPr="00E63513">
        <w:rPr>
          <w:rFonts w:asciiTheme="majorBidi" w:eastAsia="Times New Roman" w:hAnsiTheme="majorBidi" w:cstheme="majorBidi"/>
          <w:color w:val="000000" w:themeColor="text1"/>
        </w:rPr>
        <w:t xml:space="preserve">it is not true in the case of </w:t>
      </w:r>
      <w:r w:rsidRPr="00E63513">
        <w:rPr>
          <w:rFonts w:asciiTheme="majorBidi" w:eastAsia="Times New Roman" w:hAnsiTheme="majorBidi" w:cstheme="majorBidi"/>
          <w:color w:val="000000" w:themeColor="text1"/>
        </w:rPr>
        <w:t xml:space="preserve">Islamic banks. These may </w:t>
      </w:r>
      <w:r w:rsidR="005A472D" w:rsidRPr="00E63513">
        <w:rPr>
          <w:rFonts w:asciiTheme="majorBidi" w:eastAsia="Times New Roman" w:hAnsiTheme="majorBidi" w:cstheme="majorBidi"/>
          <w:color w:val="000000" w:themeColor="text1"/>
        </w:rPr>
        <w:t xml:space="preserve">be </w:t>
      </w:r>
      <w:r w:rsidRPr="00E63513">
        <w:rPr>
          <w:rFonts w:asciiTheme="majorBidi" w:eastAsia="Times New Roman" w:hAnsiTheme="majorBidi" w:cstheme="majorBidi"/>
          <w:color w:val="000000" w:themeColor="text1"/>
        </w:rPr>
        <w:t xml:space="preserve">due to the Islamic precepts in the Islamic banks that </w:t>
      </w:r>
      <w:r w:rsidR="006811A4" w:rsidRPr="00E63513">
        <w:rPr>
          <w:rFonts w:asciiTheme="majorBidi" w:eastAsia="Times New Roman" w:hAnsiTheme="majorBidi" w:cstheme="majorBidi"/>
          <w:color w:val="000000" w:themeColor="text1"/>
        </w:rPr>
        <w:t>prohibit</w:t>
      </w:r>
      <w:r w:rsidRPr="00E63513">
        <w:rPr>
          <w:rFonts w:asciiTheme="majorBidi" w:eastAsia="Times New Roman" w:hAnsiTheme="majorBidi" w:cstheme="majorBidi"/>
          <w:color w:val="000000" w:themeColor="text1"/>
        </w:rPr>
        <w:t xml:space="preserve"> </w:t>
      </w:r>
      <w:r w:rsidR="006811A4" w:rsidRPr="00E63513">
        <w:rPr>
          <w:rFonts w:asciiTheme="majorBidi" w:eastAsia="Times New Roman" w:hAnsiTheme="majorBidi" w:cstheme="majorBidi"/>
          <w:color w:val="000000" w:themeColor="text1"/>
        </w:rPr>
        <w:t>earning without appropriate</w:t>
      </w:r>
      <w:r w:rsidRPr="00E63513">
        <w:rPr>
          <w:rFonts w:asciiTheme="majorBidi" w:eastAsia="Times New Roman" w:hAnsiTheme="majorBidi" w:cstheme="majorBidi"/>
          <w:color w:val="000000" w:themeColor="text1"/>
        </w:rPr>
        <w:t xml:space="preserve"> reason.</w:t>
      </w:r>
      <w:r w:rsidR="007A7560" w:rsidRPr="00E63513">
        <w:rPr>
          <w:rFonts w:asciiTheme="majorBidi" w:hAnsiTheme="majorBidi" w:cstheme="majorBidi"/>
          <w:color w:val="000000" w:themeColor="text1"/>
        </w:rPr>
        <w:t xml:space="preserve"> </w:t>
      </w:r>
      <w:r w:rsidR="007A7560" w:rsidRPr="00E63513">
        <w:rPr>
          <w:rFonts w:asciiTheme="majorBidi" w:eastAsia="Times New Roman" w:hAnsiTheme="majorBidi" w:cstheme="majorBidi"/>
          <w:color w:val="000000" w:themeColor="text1"/>
        </w:rPr>
        <w:t xml:space="preserve">OE measured by total operating expenses to net interest income has a negative and significant effect on all measures of bank </w:t>
      </w:r>
      <w:r w:rsidR="00C25C75" w:rsidRPr="00E63513">
        <w:rPr>
          <w:rFonts w:asciiTheme="majorBidi" w:eastAsia="Times New Roman" w:hAnsiTheme="majorBidi" w:cstheme="majorBidi"/>
          <w:color w:val="000000" w:themeColor="text1"/>
        </w:rPr>
        <w:t>shareholders value</w:t>
      </w:r>
      <w:r w:rsidR="007A7560" w:rsidRPr="00E63513">
        <w:rPr>
          <w:rFonts w:asciiTheme="majorBidi" w:eastAsia="Times New Roman" w:hAnsiTheme="majorBidi" w:cstheme="majorBidi"/>
          <w:color w:val="000000" w:themeColor="text1"/>
        </w:rPr>
        <w:t xml:space="preserve"> (Tobin’s Q, MB, and ROE) </w:t>
      </w:r>
      <w:r w:rsidR="00EF48FF" w:rsidRPr="00E63513">
        <w:rPr>
          <w:rFonts w:asciiTheme="majorBidi" w:eastAsia="Times New Roman" w:hAnsiTheme="majorBidi" w:cstheme="majorBidi"/>
          <w:color w:val="000000" w:themeColor="text1"/>
        </w:rPr>
        <w:t>for</w:t>
      </w:r>
      <w:r w:rsidR="007A7560" w:rsidRPr="00E63513">
        <w:rPr>
          <w:rFonts w:asciiTheme="majorBidi" w:eastAsia="Times New Roman" w:hAnsiTheme="majorBidi" w:cstheme="majorBidi"/>
          <w:color w:val="000000" w:themeColor="text1"/>
        </w:rPr>
        <w:t xml:space="preserve"> both conventional </w:t>
      </w:r>
      <w:r w:rsidR="00EF48FF" w:rsidRPr="00E63513">
        <w:rPr>
          <w:rFonts w:asciiTheme="majorBidi" w:eastAsia="Times New Roman" w:hAnsiTheme="majorBidi" w:cstheme="majorBidi"/>
          <w:color w:val="000000" w:themeColor="text1"/>
        </w:rPr>
        <w:t xml:space="preserve">as well as for the </w:t>
      </w:r>
      <w:r w:rsidR="007A7560" w:rsidRPr="00E63513">
        <w:rPr>
          <w:rFonts w:asciiTheme="majorBidi" w:eastAsia="Times New Roman" w:hAnsiTheme="majorBidi" w:cstheme="majorBidi"/>
          <w:color w:val="000000" w:themeColor="text1"/>
        </w:rPr>
        <w:t xml:space="preserve">Islamic banks. This may be due to poor cost efficiency that affects </w:t>
      </w:r>
      <w:r w:rsidR="00041072" w:rsidRPr="00E63513">
        <w:rPr>
          <w:rFonts w:asciiTheme="majorBidi" w:eastAsia="Times New Roman" w:hAnsiTheme="majorBidi" w:cstheme="majorBidi"/>
          <w:color w:val="000000" w:themeColor="text1"/>
        </w:rPr>
        <w:t>shareholders’</w:t>
      </w:r>
      <w:r w:rsidR="00C25C75" w:rsidRPr="00E63513">
        <w:rPr>
          <w:rFonts w:asciiTheme="majorBidi" w:eastAsia="Times New Roman" w:hAnsiTheme="majorBidi" w:cstheme="majorBidi"/>
          <w:color w:val="000000" w:themeColor="text1"/>
        </w:rPr>
        <w:t xml:space="preserve"> value</w:t>
      </w:r>
      <w:r w:rsidR="007A7560" w:rsidRPr="00E63513">
        <w:rPr>
          <w:rFonts w:asciiTheme="majorBidi" w:eastAsia="Times New Roman" w:hAnsiTheme="majorBidi" w:cstheme="majorBidi"/>
          <w:color w:val="000000" w:themeColor="text1"/>
        </w:rPr>
        <w:t xml:space="preserve"> </w:t>
      </w:r>
      <w:r w:rsidR="00041072" w:rsidRPr="00E63513">
        <w:rPr>
          <w:rFonts w:asciiTheme="majorBidi" w:eastAsia="Times New Roman" w:hAnsiTheme="majorBidi" w:cstheme="majorBidi"/>
          <w:color w:val="000000" w:themeColor="text1"/>
        </w:rPr>
        <w:t>negatively</w:t>
      </w:r>
      <w:r w:rsidR="007A7560" w:rsidRPr="00E63513">
        <w:rPr>
          <w:rFonts w:asciiTheme="majorBidi" w:eastAsia="Times New Roman" w:hAnsiTheme="majorBidi" w:cstheme="majorBidi"/>
          <w:color w:val="000000" w:themeColor="text1"/>
        </w:rPr>
        <w:t>.</w:t>
      </w:r>
    </w:p>
    <w:p w:rsidR="005F21C3" w:rsidRPr="00E63513" w:rsidRDefault="005F21C3" w:rsidP="005F21C3">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For liquidity, loan to total deposit ratio (LIQR1) has a negative and significant relationship with Tobin's Q, MB, and ROE for conventional banks, however, it has a positive and significant association with these parameters in the case of Islamic banks. These suggest that a higher proportion of loans in the loan portfolios lead to decline in shareholders’ value for conventional banks but the opposite is true in the case of the Islamic banks. This may due to that the risk level in Islamic banks are limited due to their adherence to the principles of Islam. It is also reflective of the fact that better management of loans assets, including monitoring and control, restrict the proliferation of loss assets in the lending book of the Islamic banks. Liquid assets to total assets (LIQR2) is negatively significantly related to Tobin's Q and MB for conventional banks, however, it has a positive but insignificant relationship on that for Islamic banks. These suggest that higher liquidity reduces the shareholders’ value in the case of conventional banks, which is however not the case in the case of Islamic banks.</w:t>
      </w:r>
    </w:p>
    <w:p w:rsidR="005F21C3" w:rsidRPr="00E63513" w:rsidRDefault="005F21C3" w:rsidP="005F21C3">
      <w:pPr>
        <w:spacing w:after="0" w:line="240" w:lineRule="auto"/>
        <w:ind w:firstLine="720"/>
        <w:jc w:val="both"/>
        <w:rPr>
          <w:rFonts w:asciiTheme="majorBidi" w:eastAsia="Times New Roman" w:hAnsiTheme="majorBidi" w:cstheme="majorBidi"/>
          <w:color w:val="000000" w:themeColor="text1"/>
        </w:rPr>
      </w:pPr>
    </w:p>
    <w:p w:rsidR="00C25C75" w:rsidRPr="00E63513" w:rsidRDefault="00C25C75" w:rsidP="00EF5C7B">
      <w:pPr>
        <w:spacing w:after="0" w:line="240" w:lineRule="auto"/>
        <w:ind w:firstLine="720"/>
        <w:jc w:val="both"/>
        <w:rPr>
          <w:rFonts w:asciiTheme="majorBidi" w:eastAsia="Times New Roman" w:hAnsiTheme="majorBidi" w:cstheme="majorBidi"/>
          <w:b/>
          <w:bCs/>
          <w:color w:val="000000" w:themeColor="text1"/>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919"/>
        <w:gridCol w:w="919"/>
        <w:gridCol w:w="1025"/>
        <w:gridCol w:w="222"/>
        <w:gridCol w:w="958"/>
        <w:gridCol w:w="973"/>
        <w:gridCol w:w="1025"/>
        <w:gridCol w:w="222"/>
        <w:gridCol w:w="919"/>
        <w:gridCol w:w="919"/>
        <w:gridCol w:w="1025"/>
      </w:tblGrid>
      <w:tr w:rsidR="00E63513" w:rsidRPr="00E63513" w:rsidTr="006B44CB">
        <w:tc>
          <w:tcPr>
            <w:tcW w:w="10031" w:type="dxa"/>
            <w:gridSpan w:val="12"/>
            <w:tcBorders>
              <w:bottom w:val="single" w:sz="4" w:space="0" w:color="auto"/>
            </w:tcBorders>
            <w:vAlign w:val="center"/>
          </w:tcPr>
          <w:p w:rsidR="00E546E6" w:rsidRPr="00E63513" w:rsidRDefault="00E546E6" w:rsidP="006C7613">
            <w:pPr>
              <w:rPr>
                <w:rFonts w:asciiTheme="majorBidi" w:eastAsia="Times New Roman" w:hAnsiTheme="majorBidi" w:cstheme="majorBidi"/>
                <w:b/>
                <w:bCs/>
                <w:color w:val="000000" w:themeColor="text1"/>
                <w:sz w:val="20"/>
                <w:szCs w:val="20"/>
              </w:rPr>
            </w:pPr>
            <w:r w:rsidRPr="00E63513">
              <w:rPr>
                <w:rFonts w:asciiTheme="majorBidi" w:eastAsia="Times New Roman" w:hAnsiTheme="majorBidi" w:cstheme="majorBidi"/>
                <w:b/>
                <w:bCs/>
                <w:color w:val="000000" w:themeColor="text1"/>
                <w:sz w:val="20"/>
                <w:szCs w:val="20"/>
              </w:rPr>
              <w:lastRenderedPageBreak/>
              <w:t xml:space="preserve">Table 8: </w:t>
            </w:r>
            <w:r w:rsidR="006C7613" w:rsidRPr="00E63513">
              <w:rPr>
                <w:rFonts w:asciiTheme="majorBidi" w:eastAsia="Times New Roman" w:hAnsiTheme="majorBidi" w:cstheme="majorBidi"/>
                <w:b/>
                <w:bCs/>
                <w:color w:val="000000" w:themeColor="text1"/>
                <w:sz w:val="20"/>
                <w:szCs w:val="20"/>
              </w:rPr>
              <w:t xml:space="preserve">Results </w:t>
            </w:r>
            <w:r w:rsidRPr="00E63513">
              <w:rPr>
                <w:rFonts w:asciiTheme="majorBidi" w:eastAsia="Times New Roman" w:hAnsiTheme="majorBidi" w:cstheme="majorBidi"/>
                <w:b/>
                <w:bCs/>
                <w:color w:val="000000" w:themeColor="text1"/>
                <w:sz w:val="20"/>
                <w:szCs w:val="20"/>
              </w:rPr>
              <w:t xml:space="preserve">Summary of </w:t>
            </w:r>
            <w:r w:rsidR="006C7613" w:rsidRPr="00E63513">
              <w:rPr>
                <w:rFonts w:asciiTheme="majorBidi" w:eastAsia="Times New Roman" w:hAnsiTheme="majorBidi" w:cstheme="majorBidi"/>
                <w:b/>
                <w:bCs/>
                <w:color w:val="000000" w:themeColor="text1"/>
                <w:sz w:val="20"/>
                <w:szCs w:val="20"/>
              </w:rPr>
              <w:t xml:space="preserve">the measures of </w:t>
            </w:r>
            <w:r w:rsidR="00C25C75" w:rsidRPr="00E63513">
              <w:rPr>
                <w:rFonts w:asciiTheme="majorBidi" w:eastAsia="Times New Roman" w:hAnsiTheme="majorBidi" w:cstheme="majorBidi"/>
                <w:b/>
                <w:bCs/>
                <w:color w:val="000000" w:themeColor="text1"/>
                <w:sz w:val="20"/>
                <w:szCs w:val="20"/>
              </w:rPr>
              <w:t>shareholders value</w:t>
            </w:r>
            <w:r w:rsidRPr="00E63513">
              <w:rPr>
                <w:rFonts w:asciiTheme="majorBidi" w:eastAsia="Times New Roman" w:hAnsiTheme="majorBidi" w:cstheme="majorBidi"/>
                <w:b/>
                <w:bCs/>
                <w:color w:val="000000" w:themeColor="text1"/>
                <w:sz w:val="20"/>
                <w:szCs w:val="20"/>
              </w:rPr>
              <w:t xml:space="preserve"> for both conventional and Islamic bank in Saudi Arabia</w:t>
            </w:r>
          </w:p>
        </w:tc>
      </w:tr>
      <w:tr w:rsidR="00E63513" w:rsidRPr="00E63513" w:rsidTr="006B44CB">
        <w:tc>
          <w:tcPr>
            <w:tcW w:w="905" w:type="dxa"/>
            <w:tcBorders>
              <w:top w:val="single" w:sz="4" w:space="0" w:color="auto"/>
            </w:tcBorders>
          </w:tcPr>
          <w:p w:rsidR="00E546E6" w:rsidRPr="00E63513" w:rsidRDefault="00E546E6" w:rsidP="00C95DF6">
            <w:pPr>
              <w:jc w:val="both"/>
              <w:rPr>
                <w:rFonts w:asciiTheme="majorBidi" w:hAnsiTheme="majorBidi" w:cstheme="majorBidi"/>
                <w:color w:val="000000" w:themeColor="text1"/>
                <w:sz w:val="20"/>
                <w:szCs w:val="20"/>
              </w:rPr>
            </w:pPr>
          </w:p>
        </w:tc>
        <w:tc>
          <w:tcPr>
            <w:tcW w:w="2863" w:type="dxa"/>
            <w:gridSpan w:val="3"/>
            <w:tcBorders>
              <w:top w:val="single" w:sz="4" w:space="0" w:color="auto"/>
              <w:bottom w:val="single" w:sz="4" w:space="0" w:color="auto"/>
            </w:tcBorders>
          </w:tcPr>
          <w:p w:rsidR="00E546E6" w:rsidRPr="00E63513" w:rsidRDefault="00E546E6" w:rsidP="00C95DF6">
            <w:pPr>
              <w:jc w:val="center"/>
              <w:rPr>
                <w:rFonts w:asciiTheme="majorBidi" w:hAnsiTheme="majorBidi" w:cstheme="majorBidi"/>
                <w:b/>
                <w:bCs/>
                <w:color w:val="000000" w:themeColor="text1"/>
                <w:sz w:val="20"/>
                <w:szCs w:val="20"/>
              </w:rPr>
            </w:pPr>
            <w:r w:rsidRPr="00E63513">
              <w:rPr>
                <w:rFonts w:asciiTheme="majorBidi" w:hAnsiTheme="majorBidi" w:cstheme="majorBidi"/>
                <w:b/>
                <w:bCs/>
                <w:color w:val="000000" w:themeColor="text1"/>
                <w:sz w:val="20"/>
                <w:szCs w:val="20"/>
              </w:rPr>
              <w:t>Tobin’s Q</w:t>
            </w:r>
          </w:p>
        </w:tc>
        <w:tc>
          <w:tcPr>
            <w:tcW w:w="222" w:type="dxa"/>
            <w:tcBorders>
              <w:top w:val="single" w:sz="4" w:space="0" w:color="auto"/>
            </w:tcBorders>
          </w:tcPr>
          <w:p w:rsidR="00E546E6" w:rsidRPr="00E63513" w:rsidRDefault="00E546E6" w:rsidP="00C95DF6">
            <w:pPr>
              <w:jc w:val="center"/>
              <w:rPr>
                <w:rFonts w:asciiTheme="majorBidi" w:hAnsiTheme="majorBidi" w:cstheme="majorBidi"/>
                <w:b/>
                <w:bCs/>
                <w:color w:val="000000" w:themeColor="text1"/>
                <w:sz w:val="20"/>
                <w:szCs w:val="20"/>
              </w:rPr>
            </w:pPr>
          </w:p>
        </w:tc>
        <w:tc>
          <w:tcPr>
            <w:tcW w:w="3070" w:type="dxa"/>
            <w:gridSpan w:val="3"/>
            <w:tcBorders>
              <w:top w:val="single" w:sz="4" w:space="0" w:color="auto"/>
              <w:bottom w:val="single" w:sz="4" w:space="0" w:color="auto"/>
            </w:tcBorders>
          </w:tcPr>
          <w:p w:rsidR="00E546E6" w:rsidRPr="00E63513" w:rsidRDefault="00E546E6" w:rsidP="00C95DF6">
            <w:pPr>
              <w:jc w:val="center"/>
              <w:rPr>
                <w:rFonts w:asciiTheme="majorBidi" w:hAnsiTheme="majorBidi" w:cstheme="majorBidi"/>
                <w:b/>
                <w:bCs/>
                <w:color w:val="000000" w:themeColor="text1"/>
                <w:sz w:val="20"/>
                <w:szCs w:val="20"/>
              </w:rPr>
            </w:pPr>
            <w:r w:rsidRPr="00E63513">
              <w:rPr>
                <w:rFonts w:asciiTheme="majorBidi" w:hAnsiTheme="majorBidi" w:cstheme="majorBidi"/>
                <w:b/>
                <w:bCs/>
                <w:color w:val="000000" w:themeColor="text1"/>
                <w:sz w:val="20"/>
                <w:szCs w:val="20"/>
              </w:rPr>
              <w:t>MB</w:t>
            </w:r>
          </w:p>
        </w:tc>
        <w:tc>
          <w:tcPr>
            <w:tcW w:w="222" w:type="dxa"/>
            <w:tcBorders>
              <w:top w:val="single" w:sz="4" w:space="0" w:color="auto"/>
            </w:tcBorders>
          </w:tcPr>
          <w:p w:rsidR="00E546E6" w:rsidRPr="00E63513" w:rsidRDefault="00E546E6" w:rsidP="00C95DF6">
            <w:pPr>
              <w:jc w:val="center"/>
              <w:rPr>
                <w:rFonts w:asciiTheme="majorBidi" w:hAnsiTheme="majorBidi" w:cstheme="majorBidi"/>
                <w:b/>
                <w:bCs/>
                <w:color w:val="000000" w:themeColor="text1"/>
                <w:sz w:val="20"/>
                <w:szCs w:val="20"/>
              </w:rPr>
            </w:pPr>
          </w:p>
        </w:tc>
        <w:tc>
          <w:tcPr>
            <w:tcW w:w="2749" w:type="dxa"/>
            <w:gridSpan w:val="3"/>
            <w:tcBorders>
              <w:top w:val="single" w:sz="4" w:space="0" w:color="auto"/>
              <w:bottom w:val="single" w:sz="4" w:space="0" w:color="auto"/>
            </w:tcBorders>
          </w:tcPr>
          <w:p w:rsidR="00E546E6" w:rsidRPr="00E63513" w:rsidRDefault="00E546E6" w:rsidP="00C95DF6">
            <w:pPr>
              <w:jc w:val="center"/>
              <w:rPr>
                <w:rFonts w:asciiTheme="majorBidi" w:hAnsiTheme="majorBidi" w:cstheme="majorBidi"/>
                <w:b/>
                <w:bCs/>
                <w:color w:val="000000" w:themeColor="text1"/>
                <w:sz w:val="20"/>
                <w:szCs w:val="20"/>
              </w:rPr>
            </w:pPr>
            <w:r w:rsidRPr="00E63513">
              <w:rPr>
                <w:rFonts w:asciiTheme="majorBidi" w:hAnsiTheme="majorBidi" w:cstheme="majorBidi"/>
                <w:b/>
                <w:bCs/>
                <w:color w:val="000000" w:themeColor="text1"/>
                <w:sz w:val="20"/>
                <w:szCs w:val="20"/>
              </w:rPr>
              <w:t>ROE</w:t>
            </w:r>
          </w:p>
        </w:tc>
      </w:tr>
      <w:tr w:rsidR="00E63513" w:rsidRPr="00E63513" w:rsidTr="006B44CB">
        <w:trPr>
          <w:trHeight w:val="177"/>
        </w:trPr>
        <w:tc>
          <w:tcPr>
            <w:tcW w:w="905" w:type="dxa"/>
            <w:tcBorders>
              <w:bottom w:val="single" w:sz="4" w:space="0" w:color="auto"/>
            </w:tcBorders>
          </w:tcPr>
          <w:p w:rsidR="00E546E6" w:rsidRPr="00E63513" w:rsidRDefault="00E546E6" w:rsidP="00C95DF6">
            <w:pPr>
              <w:jc w:val="both"/>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t>Variable</w:t>
            </w: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1025"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Insignificant</w:t>
            </w:r>
          </w:p>
        </w:tc>
        <w:tc>
          <w:tcPr>
            <w:tcW w:w="222" w:type="dxa"/>
            <w:tcBorders>
              <w:bottom w:val="single" w:sz="4" w:space="0" w:color="auto"/>
            </w:tcBorders>
          </w:tcPr>
          <w:p w:rsidR="00E546E6" w:rsidRPr="00E63513" w:rsidRDefault="00E546E6" w:rsidP="00C95DF6">
            <w:pPr>
              <w:jc w:val="both"/>
              <w:rPr>
                <w:rFonts w:asciiTheme="majorBidi" w:hAnsiTheme="majorBidi" w:cstheme="majorBidi"/>
                <w:color w:val="000000" w:themeColor="text1"/>
                <w:sz w:val="16"/>
                <w:szCs w:val="16"/>
              </w:rPr>
            </w:pPr>
          </w:p>
        </w:tc>
        <w:tc>
          <w:tcPr>
            <w:tcW w:w="1005"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1040"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1025"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Insignificant</w:t>
            </w:r>
          </w:p>
        </w:tc>
        <w:tc>
          <w:tcPr>
            <w:tcW w:w="222" w:type="dxa"/>
            <w:tcBorders>
              <w:bottom w:val="single" w:sz="4" w:space="0" w:color="auto"/>
            </w:tcBorders>
          </w:tcPr>
          <w:p w:rsidR="00E546E6" w:rsidRPr="00E63513" w:rsidRDefault="00E546E6" w:rsidP="00C95DF6">
            <w:pPr>
              <w:jc w:val="both"/>
              <w:rPr>
                <w:rFonts w:asciiTheme="majorBidi" w:hAnsiTheme="majorBidi" w:cstheme="majorBidi"/>
                <w:color w:val="000000" w:themeColor="text1"/>
                <w:sz w:val="16"/>
                <w:szCs w:val="16"/>
              </w:rPr>
            </w:pPr>
          </w:p>
        </w:tc>
        <w:tc>
          <w:tcPr>
            <w:tcW w:w="919"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919"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w:t>
            </w: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Significant</w:t>
            </w:r>
          </w:p>
        </w:tc>
        <w:tc>
          <w:tcPr>
            <w:tcW w:w="911" w:type="dxa"/>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16"/>
                <w:szCs w:val="16"/>
              </w:rPr>
            </w:pPr>
          </w:p>
          <w:p w:rsidR="00E546E6" w:rsidRPr="00E63513" w:rsidRDefault="00E546E6" w:rsidP="00C95DF6">
            <w:pPr>
              <w:jc w:val="center"/>
              <w:rPr>
                <w:rFonts w:asciiTheme="majorBidi" w:hAnsiTheme="majorBidi" w:cstheme="majorBidi"/>
                <w:color w:val="000000" w:themeColor="text1"/>
                <w:sz w:val="16"/>
                <w:szCs w:val="16"/>
              </w:rPr>
            </w:pPr>
            <w:r w:rsidRPr="00E63513">
              <w:rPr>
                <w:rFonts w:asciiTheme="majorBidi" w:hAnsiTheme="majorBidi" w:cstheme="majorBidi"/>
                <w:color w:val="000000" w:themeColor="text1"/>
                <w:sz w:val="16"/>
                <w:szCs w:val="16"/>
              </w:rPr>
              <w:t>Insignificant</w:t>
            </w: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2045" w:type="dxa"/>
            <w:gridSpan w:val="2"/>
            <w:tcBorders>
              <w:top w:val="single" w:sz="4" w:space="0" w:color="auto"/>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b/>
                <w:bCs/>
                <w:color w:val="000000" w:themeColor="text1"/>
                <w:sz w:val="20"/>
                <w:szCs w:val="20"/>
              </w:rPr>
              <w:t>Conventional Banks</w:t>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Borders>
              <w:top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Borders>
              <w:top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LIQRI</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bottom"/>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LIQR2 </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r>
      <w:tr w:rsidR="00E63513" w:rsidRPr="00E63513" w:rsidTr="006B44CB">
        <w:tc>
          <w:tcPr>
            <w:tcW w:w="905" w:type="dxa"/>
            <w:vAlign w:val="bottom"/>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r>
      <w:tr w:rsidR="00E63513" w:rsidRPr="00E63513" w:rsidTr="006B44CB">
        <w:tc>
          <w:tcPr>
            <w:tcW w:w="905" w:type="dxa"/>
            <w:vAlign w:val="bottom"/>
          </w:tcPr>
          <w:p w:rsidR="00E546E6" w:rsidRPr="00E63513" w:rsidRDefault="00E546E6" w:rsidP="00C95DF6">
            <w:pPr>
              <w:rPr>
                <w:rFonts w:asciiTheme="majorBidi" w:eastAsia="Times New Roman"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2045" w:type="dxa"/>
            <w:gridSpan w:val="2"/>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b/>
                <w:bCs/>
                <w:color w:val="000000" w:themeColor="text1"/>
                <w:sz w:val="20"/>
                <w:szCs w:val="20"/>
              </w:rPr>
              <w:t>Islamic Banks</w:t>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CAR</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Borders>
              <w:top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Borders>
              <w:top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AQ</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OE</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center"/>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LIQRI</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vAlign w:val="bottom"/>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 xml:space="preserve">LIQR2 </w:t>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Pr>
          <w:p w:rsidR="00E546E6" w:rsidRPr="00E63513" w:rsidRDefault="00E546E6" w:rsidP="00C95DF6">
            <w:pPr>
              <w:jc w:val="center"/>
              <w:rPr>
                <w:rFonts w:asciiTheme="majorBidi" w:hAnsiTheme="majorBidi" w:cstheme="majorBidi"/>
                <w:color w:val="000000" w:themeColor="text1"/>
                <w:sz w:val="20"/>
                <w:szCs w:val="20"/>
              </w:rPr>
            </w:pPr>
          </w:p>
        </w:tc>
        <w:tc>
          <w:tcPr>
            <w:tcW w:w="1025"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222" w:type="dxa"/>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919" w:type="dxa"/>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Pr>
          <w:p w:rsidR="00E546E6" w:rsidRPr="00E63513" w:rsidRDefault="00E546E6" w:rsidP="00C95DF6">
            <w:pPr>
              <w:jc w:val="center"/>
              <w:rPr>
                <w:rFonts w:asciiTheme="majorBidi" w:hAnsiTheme="majorBidi" w:cstheme="majorBidi"/>
                <w:color w:val="000000" w:themeColor="text1"/>
                <w:sz w:val="20"/>
                <w:szCs w:val="20"/>
              </w:rPr>
            </w:pPr>
          </w:p>
        </w:tc>
      </w:tr>
      <w:tr w:rsidR="00E63513" w:rsidRPr="00E63513" w:rsidTr="006B44CB">
        <w:tc>
          <w:tcPr>
            <w:tcW w:w="905" w:type="dxa"/>
            <w:tcBorders>
              <w:bottom w:val="single" w:sz="4" w:space="0" w:color="auto"/>
            </w:tcBorders>
            <w:vAlign w:val="bottom"/>
          </w:tcPr>
          <w:p w:rsidR="00E546E6" w:rsidRPr="00E63513" w:rsidRDefault="00E546E6" w:rsidP="00C95DF6">
            <w:pPr>
              <w:rPr>
                <w:rFonts w:asciiTheme="majorBidi" w:eastAsia="Times New Roman" w:hAnsiTheme="majorBidi" w:cstheme="majorBidi"/>
                <w:color w:val="000000" w:themeColor="text1"/>
                <w:sz w:val="20"/>
                <w:szCs w:val="20"/>
              </w:rPr>
            </w:pPr>
            <w:r w:rsidRPr="00E63513">
              <w:rPr>
                <w:rFonts w:asciiTheme="majorBidi" w:eastAsia="Times New Roman" w:hAnsiTheme="majorBidi" w:cstheme="majorBidi"/>
                <w:color w:val="000000" w:themeColor="text1"/>
                <w:sz w:val="20"/>
                <w:szCs w:val="20"/>
              </w:rPr>
              <w:t>SIZE</w:t>
            </w: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1005"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1040"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c>
          <w:tcPr>
            <w:tcW w:w="1025"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222"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919"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p>
        </w:tc>
        <w:tc>
          <w:tcPr>
            <w:tcW w:w="911" w:type="dxa"/>
            <w:tcBorders>
              <w:bottom w:val="single" w:sz="4" w:space="0" w:color="auto"/>
            </w:tcBorders>
          </w:tcPr>
          <w:p w:rsidR="00E546E6" w:rsidRPr="00E63513" w:rsidRDefault="00E546E6" w:rsidP="00C95DF6">
            <w:pPr>
              <w:jc w:val="center"/>
              <w:rPr>
                <w:rFonts w:asciiTheme="majorBidi" w:hAnsiTheme="majorBidi" w:cstheme="majorBidi"/>
                <w:color w:val="000000" w:themeColor="text1"/>
                <w:sz w:val="20"/>
                <w:szCs w:val="20"/>
              </w:rPr>
            </w:pPr>
            <w:r w:rsidRPr="00E63513">
              <w:rPr>
                <w:rFonts w:asciiTheme="majorBidi" w:hAnsiTheme="majorBidi" w:cstheme="majorBidi"/>
                <w:color w:val="000000" w:themeColor="text1"/>
                <w:sz w:val="20"/>
                <w:szCs w:val="20"/>
              </w:rPr>
              <w:sym w:font="Wingdings" w:char="F0FC"/>
            </w:r>
          </w:p>
        </w:tc>
      </w:tr>
      <w:tr w:rsidR="00E546E6" w:rsidRPr="00E63513" w:rsidTr="006B44CB">
        <w:tc>
          <w:tcPr>
            <w:tcW w:w="10031" w:type="dxa"/>
            <w:gridSpan w:val="12"/>
            <w:tcBorders>
              <w:top w:val="single" w:sz="4" w:space="0" w:color="auto"/>
            </w:tcBorders>
            <w:vAlign w:val="bottom"/>
          </w:tcPr>
          <w:p w:rsidR="00E546E6" w:rsidRPr="00E63513" w:rsidRDefault="00E546E6" w:rsidP="00C95DF6">
            <w:pPr>
              <w:jc w:val="both"/>
              <w:rPr>
                <w:rFonts w:asciiTheme="majorBidi" w:hAnsiTheme="majorBidi" w:cstheme="majorBidi"/>
                <w:color w:val="000000" w:themeColor="text1"/>
                <w:sz w:val="16"/>
                <w:szCs w:val="16"/>
              </w:rPr>
            </w:pPr>
            <w:r w:rsidRPr="00E63513">
              <w:rPr>
                <w:rFonts w:asciiTheme="majorBidi" w:hAnsiTheme="majorBidi" w:cstheme="majorBidi"/>
                <w:i/>
                <w:iCs/>
                <w:color w:val="000000" w:themeColor="text1"/>
                <w:sz w:val="16"/>
                <w:szCs w:val="16"/>
              </w:rPr>
              <w:t>Note: “+ significant”</w:t>
            </w:r>
            <w:r w:rsidRPr="00E63513">
              <w:rPr>
                <w:rFonts w:asciiTheme="majorBidi" w:hAnsiTheme="majorBidi" w:cstheme="majorBidi"/>
                <w:color w:val="000000" w:themeColor="text1"/>
                <w:sz w:val="16"/>
                <w:szCs w:val="16"/>
              </w:rPr>
              <w:t xml:space="preserve"> Represents that the variable is significantly and positively affect the bank profitability</w:t>
            </w:r>
            <w:r w:rsidRPr="00E63513">
              <w:rPr>
                <w:rFonts w:asciiTheme="majorBidi" w:hAnsiTheme="majorBidi" w:cstheme="majorBidi"/>
                <w:i/>
                <w:iCs/>
                <w:color w:val="000000" w:themeColor="text1"/>
                <w:sz w:val="16"/>
                <w:szCs w:val="16"/>
              </w:rPr>
              <w:t>; “− significant”</w:t>
            </w:r>
            <w:r w:rsidRPr="00E63513">
              <w:rPr>
                <w:rFonts w:asciiTheme="majorBidi" w:hAnsiTheme="majorBidi" w:cstheme="majorBidi"/>
                <w:color w:val="000000" w:themeColor="text1"/>
                <w:sz w:val="16"/>
                <w:szCs w:val="16"/>
              </w:rPr>
              <w:t xml:space="preserve"> indicates that the variable is significantly and negatively affect the bank profitability</w:t>
            </w:r>
            <w:r w:rsidRPr="00E63513">
              <w:rPr>
                <w:rFonts w:asciiTheme="majorBidi" w:hAnsiTheme="majorBidi" w:cstheme="majorBidi"/>
                <w:i/>
                <w:iCs/>
                <w:color w:val="000000" w:themeColor="text1"/>
                <w:sz w:val="16"/>
                <w:szCs w:val="16"/>
              </w:rPr>
              <w:t>; “insignificant”</w:t>
            </w:r>
            <w:r w:rsidRPr="00E63513">
              <w:rPr>
                <w:rFonts w:asciiTheme="majorBidi" w:hAnsiTheme="majorBidi" w:cstheme="majorBidi"/>
                <w:color w:val="000000" w:themeColor="text1"/>
                <w:sz w:val="16"/>
                <w:szCs w:val="16"/>
              </w:rPr>
              <w:t xml:space="preserve"> means that the variable is not significantly related to bank profitability.</w:t>
            </w:r>
          </w:p>
        </w:tc>
      </w:tr>
    </w:tbl>
    <w:p w:rsidR="00D87341" w:rsidRPr="00E63513" w:rsidRDefault="00D87341" w:rsidP="00E174F5">
      <w:pPr>
        <w:spacing w:after="0" w:line="240" w:lineRule="auto"/>
        <w:jc w:val="both"/>
        <w:rPr>
          <w:rFonts w:asciiTheme="majorBidi" w:eastAsia="Times New Roman" w:hAnsiTheme="majorBidi" w:cstheme="majorBidi"/>
          <w:b/>
          <w:bCs/>
          <w:color w:val="000000" w:themeColor="text1"/>
        </w:rPr>
      </w:pPr>
    </w:p>
    <w:p w:rsidR="003A0774" w:rsidRPr="00E63513" w:rsidRDefault="0064322C" w:rsidP="004F5B5E">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Finally, bank size (SIZE) for both conventional and Islamic banks are negatively and significantly related to Tobin's Q and MB while it is insignificant with ROE</w:t>
      </w:r>
      <w:r w:rsidR="001C7E97" w:rsidRPr="00E63513">
        <w:rPr>
          <w:rFonts w:asciiTheme="majorBidi" w:eastAsia="Times New Roman" w:hAnsiTheme="majorBidi" w:cstheme="majorBidi"/>
          <w:color w:val="000000" w:themeColor="text1"/>
        </w:rPr>
        <w:t>:</w:t>
      </w:r>
      <w:r w:rsidR="001C7E97" w:rsidRPr="00E63513">
        <w:rPr>
          <w:color w:val="000000" w:themeColor="text1"/>
        </w:rPr>
        <w:t xml:space="preserve"> </w:t>
      </w:r>
      <w:r w:rsidR="001C7E97" w:rsidRPr="00E63513">
        <w:rPr>
          <w:rFonts w:asciiTheme="majorBidi" w:eastAsia="Times New Roman" w:hAnsiTheme="majorBidi" w:cstheme="majorBidi"/>
          <w:color w:val="000000" w:themeColor="text1"/>
        </w:rPr>
        <w:t>size appears to have a negative association with shareholders’ value in the case of both the groups which is contrary to the popular belief that banks</w:t>
      </w:r>
      <w:r w:rsidR="006811A4" w:rsidRPr="00E63513">
        <w:rPr>
          <w:rFonts w:asciiTheme="majorBidi" w:eastAsia="Times New Roman" w:hAnsiTheme="majorBidi" w:cstheme="majorBidi"/>
          <w:color w:val="000000" w:themeColor="text1"/>
        </w:rPr>
        <w:t xml:space="preserve"> in general, </w:t>
      </w:r>
      <w:r w:rsidR="001C7E97" w:rsidRPr="00E63513">
        <w:rPr>
          <w:rFonts w:asciiTheme="majorBidi" w:eastAsia="Times New Roman" w:hAnsiTheme="majorBidi" w:cstheme="majorBidi"/>
          <w:color w:val="000000" w:themeColor="text1"/>
        </w:rPr>
        <w:t>gain in scale and scope efficiency as they grow in size.</w:t>
      </w:r>
    </w:p>
    <w:p w:rsidR="00DA1E72" w:rsidRPr="00E63513" w:rsidRDefault="00DA1E72" w:rsidP="00E174F5">
      <w:pPr>
        <w:spacing w:after="0" w:line="240" w:lineRule="auto"/>
        <w:jc w:val="both"/>
        <w:rPr>
          <w:rFonts w:asciiTheme="majorBidi" w:eastAsia="Times New Roman" w:hAnsiTheme="majorBidi" w:cstheme="majorBidi"/>
          <w:b/>
          <w:bCs/>
          <w:color w:val="000000" w:themeColor="text1"/>
        </w:rPr>
      </w:pPr>
    </w:p>
    <w:p w:rsidR="006B44CB" w:rsidRPr="00E63513" w:rsidRDefault="006B44CB" w:rsidP="00E174F5">
      <w:pPr>
        <w:spacing w:after="0" w:line="240" w:lineRule="auto"/>
        <w:jc w:val="both"/>
        <w:rPr>
          <w:rFonts w:asciiTheme="majorBidi" w:eastAsia="Times New Roman" w:hAnsiTheme="majorBidi" w:cstheme="majorBidi"/>
          <w:b/>
          <w:bCs/>
          <w:color w:val="000000" w:themeColor="text1"/>
        </w:rPr>
      </w:pPr>
    </w:p>
    <w:p w:rsidR="005A7E00" w:rsidRPr="00E63513" w:rsidRDefault="005A7E00" w:rsidP="00E174F5">
      <w:pPr>
        <w:spacing w:after="0" w:line="240" w:lineRule="auto"/>
        <w:jc w:val="both"/>
        <w:rPr>
          <w:rFonts w:asciiTheme="majorBidi" w:eastAsia="Times New Roman" w:hAnsiTheme="majorBidi" w:cstheme="majorBidi"/>
          <w:b/>
          <w:bCs/>
          <w:color w:val="000000" w:themeColor="text1"/>
        </w:rPr>
      </w:pPr>
      <w:r w:rsidRPr="00E63513">
        <w:rPr>
          <w:rFonts w:asciiTheme="majorBidi" w:eastAsia="Times New Roman" w:hAnsiTheme="majorBidi" w:cstheme="majorBidi"/>
          <w:b/>
          <w:bCs/>
          <w:color w:val="000000" w:themeColor="text1"/>
        </w:rPr>
        <w:t>5.</w:t>
      </w:r>
      <w:r w:rsidR="00721AE0" w:rsidRPr="00E63513">
        <w:rPr>
          <w:rFonts w:asciiTheme="majorBidi" w:eastAsia="Times New Roman" w:hAnsiTheme="majorBidi" w:cstheme="majorBidi"/>
          <w:b/>
          <w:bCs/>
          <w:color w:val="000000" w:themeColor="text1"/>
        </w:rPr>
        <w:t xml:space="preserve"> </w:t>
      </w:r>
      <w:r w:rsidRPr="00E63513">
        <w:rPr>
          <w:rFonts w:asciiTheme="majorBidi" w:eastAsia="Times New Roman" w:hAnsiTheme="majorBidi" w:cstheme="majorBidi"/>
          <w:b/>
          <w:bCs/>
          <w:color w:val="000000" w:themeColor="text1"/>
        </w:rPr>
        <w:t>Conclusion</w:t>
      </w:r>
    </w:p>
    <w:p w:rsidR="000A6F8B" w:rsidRPr="00E63513" w:rsidRDefault="000A6F8B" w:rsidP="00E174F5">
      <w:pPr>
        <w:spacing w:after="0" w:line="240" w:lineRule="auto"/>
        <w:jc w:val="both"/>
        <w:rPr>
          <w:rFonts w:asciiTheme="majorBidi" w:eastAsia="Times New Roman" w:hAnsiTheme="majorBidi" w:cstheme="majorBidi"/>
          <w:b/>
          <w:bCs/>
          <w:color w:val="000000" w:themeColor="text1"/>
        </w:rPr>
      </w:pPr>
    </w:p>
    <w:p w:rsidR="00A739BB" w:rsidRPr="00E63513" w:rsidRDefault="00C62862" w:rsidP="00C62862">
      <w:pPr>
        <w:spacing w:after="0" w:line="240" w:lineRule="auto"/>
        <w:ind w:firstLine="720"/>
        <w:jc w:val="both"/>
        <w:rPr>
          <w:rFonts w:asciiTheme="majorBidi" w:eastAsia="Times New Roman" w:hAnsiTheme="majorBidi" w:cstheme="majorBidi"/>
          <w:b/>
          <w:bCs/>
          <w:color w:val="000000" w:themeColor="text1"/>
        </w:rPr>
      </w:pPr>
      <w:r w:rsidRPr="00E63513">
        <w:rPr>
          <w:rFonts w:asciiTheme="majorBidi" w:eastAsia="Times New Roman" w:hAnsiTheme="majorBidi" w:cstheme="majorBidi"/>
          <w:color w:val="000000" w:themeColor="text1"/>
        </w:rPr>
        <w:t xml:space="preserve">The purpose of this paper is to examine and compare the shareholders’ value measured by </w:t>
      </w:r>
      <w:r w:rsidR="006811A4" w:rsidRPr="00E63513">
        <w:rPr>
          <w:rFonts w:asciiTheme="majorBidi" w:eastAsia="Times New Roman" w:hAnsiTheme="majorBidi" w:cstheme="majorBidi"/>
          <w:color w:val="000000" w:themeColor="text1"/>
        </w:rPr>
        <w:t xml:space="preserve">  Tobin's Q,</w:t>
      </w:r>
      <w:r w:rsidRPr="00E63513">
        <w:rPr>
          <w:rFonts w:asciiTheme="majorBidi" w:eastAsia="Times New Roman" w:hAnsiTheme="majorBidi" w:cstheme="majorBidi"/>
          <w:color w:val="000000" w:themeColor="text1"/>
        </w:rPr>
        <w:t xml:space="preserve"> MB, and ROE of the Islamic and conventional banks in Saudi Arabia as assessed in terms of the CAMEL model parameters over the period 2000-2015.</w:t>
      </w:r>
      <w:r w:rsidR="00A739BB" w:rsidRPr="00E63513">
        <w:rPr>
          <w:rFonts w:asciiTheme="majorBidi" w:eastAsia="Times New Roman" w:hAnsiTheme="majorBidi" w:cstheme="majorBidi"/>
          <w:color w:val="000000" w:themeColor="text1"/>
        </w:rPr>
        <w:t xml:space="preserve"> </w:t>
      </w:r>
      <w:r w:rsidR="005B4A47" w:rsidRPr="00E63513">
        <w:rPr>
          <w:rFonts w:asciiTheme="majorBidi" w:eastAsia="Times New Roman" w:hAnsiTheme="majorBidi" w:cstheme="majorBidi"/>
          <w:color w:val="000000" w:themeColor="text1"/>
        </w:rPr>
        <w:t>W</w:t>
      </w:r>
      <w:r w:rsidR="00A739BB" w:rsidRPr="00E63513">
        <w:rPr>
          <w:rFonts w:asciiTheme="majorBidi" w:eastAsia="Times New Roman" w:hAnsiTheme="majorBidi" w:cstheme="majorBidi"/>
          <w:color w:val="000000" w:themeColor="text1"/>
        </w:rPr>
        <w:t xml:space="preserve">e consider 15 years panel data for 11 listed banks (7 conventional </w:t>
      </w:r>
      <w:r w:rsidR="005B4A47" w:rsidRPr="00E63513">
        <w:rPr>
          <w:rFonts w:asciiTheme="majorBidi" w:eastAsia="Times New Roman" w:hAnsiTheme="majorBidi" w:cstheme="majorBidi"/>
          <w:color w:val="000000" w:themeColor="text1"/>
        </w:rPr>
        <w:t>and 4</w:t>
      </w:r>
      <w:r w:rsidR="00A739BB" w:rsidRPr="00E63513">
        <w:rPr>
          <w:rFonts w:asciiTheme="majorBidi" w:eastAsia="Times New Roman" w:hAnsiTheme="majorBidi" w:cstheme="majorBidi"/>
          <w:color w:val="000000" w:themeColor="text1"/>
        </w:rPr>
        <w:t xml:space="preserve"> Islamic banks), using both Pooled OLS as well as random effect</w:t>
      </w:r>
      <w:r w:rsidR="00593BD1" w:rsidRPr="00E63513">
        <w:rPr>
          <w:rFonts w:asciiTheme="majorBidi" w:eastAsia="Times New Roman" w:hAnsiTheme="majorBidi" w:cstheme="majorBidi"/>
          <w:color w:val="000000" w:themeColor="text1"/>
        </w:rPr>
        <w:t>s</w:t>
      </w:r>
      <w:r w:rsidR="00A739BB" w:rsidRPr="00E63513">
        <w:rPr>
          <w:rFonts w:asciiTheme="majorBidi" w:eastAsia="Times New Roman" w:hAnsiTheme="majorBidi" w:cstheme="majorBidi"/>
          <w:color w:val="000000" w:themeColor="text1"/>
        </w:rPr>
        <w:t xml:space="preserve"> model.</w:t>
      </w:r>
      <w:r w:rsidR="00591D38" w:rsidRPr="00E63513">
        <w:rPr>
          <w:rFonts w:asciiTheme="majorBidi" w:hAnsiTheme="majorBidi" w:cstheme="majorBidi"/>
          <w:color w:val="000000" w:themeColor="text1"/>
        </w:rPr>
        <w:t xml:space="preserve"> </w:t>
      </w:r>
      <w:r w:rsidR="00591D38" w:rsidRPr="00E63513">
        <w:rPr>
          <w:rFonts w:asciiTheme="majorBidi" w:eastAsia="Times New Roman" w:hAnsiTheme="majorBidi" w:cstheme="majorBidi"/>
          <w:color w:val="000000" w:themeColor="text1"/>
        </w:rPr>
        <w:t xml:space="preserve">To our best knowledge, this study is a first study to examine </w:t>
      </w:r>
      <w:r w:rsidR="00593BD1" w:rsidRPr="00E63513">
        <w:rPr>
          <w:rFonts w:asciiTheme="majorBidi" w:eastAsia="Times New Roman" w:hAnsiTheme="majorBidi" w:cstheme="majorBidi"/>
          <w:color w:val="000000" w:themeColor="text1"/>
        </w:rPr>
        <w:t>and compare the impact of CAMEL</w:t>
      </w:r>
      <w:r w:rsidR="00591D38" w:rsidRPr="00E63513">
        <w:rPr>
          <w:rFonts w:asciiTheme="majorBidi" w:eastAsia="Times New Roman" w:hAnsiTheme="majorBidi" w:cstheme="majorBidi"/>
          <w:color w:val="000000" w:themeColor="text1"/>
        </w:rPr>
        <w:t xml:space="preserve"> </w:t>
      </w:r>
      <w:r w:rsidR="006811A4" w:rsidRPr="00E63513">
        <w:rPr>
          <w:rFonts w:asciiTheme="majorBidi" w:eastAsia="Times New Roman" w:hAnsiTheme="majorBidi" w:cstheme="majorBidi"/>
          <w:color w:val="000000" w:themeColor="text1"/>
        </w:rPr>
        <w:t>parameter</w:t>
      </w:r>
      <w:r w:rsidR="00593BD1" w:rsidRPr="00E63513">
        <w:rPr>
          <w:rFonts w:asciiTheme="majorBidi" w:eastAsia="Times New Roman" w:hAnsiTheme="majorBidi" w:cstheme="majorBidi"/>
          <w:color w:val="000000" w:themeColor="text1"/>
        </w:rPr>
        <w:t>s</w:t>
      </w:r>
      <w:r w:rsidR="00591D38" w:rsidRPr="00E63513">
        <w:rPr>
          <w:rFonts w:asciiTheme="majorBidi" w:eastAsia="Times New Roman" w:hAnsiTheme="majorBidi" w:cstheme="majorBidi"/>
          <w:color w:val="000000" w:themeColor="text1"/>
        </w:rPr>
        <w:t xml:space="preserve"> on the </w:t>
      </w:r>
      <w:r w:rsidR="009721DD" w:rsidRPr="00E63513">
        <w:rPr>
          <w:rFonts w:asciiTheme="majorBidi" w:eastAsia="Times New Roman" w:hAnsiTheme="majorBidi" w:cstheme="majorBidi"/>
          <w:color w:val="000000" w:themeColor="text1"/>
        </w:rPr>
        <w:t>shareholders’ value</w:t>
      </w:r>
      <w:r w:rsidR="00591D38" w:rsidRPr="00E63513">
        <w:rPr>
          <w:rFonts w:asciiTheme="majorBidi" w:eastAsia="Times New Roman" w:hAnsiTheme="majorBidi" w:cstheme="majorBidi"/>
          <w:color w:val="000000" w:themeColor="text1"/>
        </w:rPr>
        <w:t xml:space="preserve"> for both conventional and Islamic banks.</w:t>
      </w:r>
    </w:p>
    <w:p w:rsidR="005B4A47" w:rsidRPr="00E63513" w:rsidRDefault="005B5F3E" w:rsidP="00D76665">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 xml:space="preserve">Our results indicate that Islamic banks in Saudi Arabia </w:t>
      </w:r>
      <w:r w:rsidR="00E836F5" w:rsidRPr="00E63513">
        <w:rPr>
          <w:rFonts w:asciiTheme="majorBidi" w:eastAsia="Times New Roman" w:hAnsiTheme="majorBidi" w:cstheme="majorBidi"/>
          <w:color w:val="000000" w:themeColor="text1"/>
        </w:rPr>
        <w:t xml:space="preserve">contribute more to their </w:t>
      </w:r>
      <w:r w:rsidR="009721DD"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than conventional banks. We find that higher capital ratio and credit risk (lower quality of assets) lead to decline </w:t>
      </w:r>
      <w:r w:rsidR="00593BD1" w:rsidRPr="00E63513">
        <w:rPr>
          <w:rFonts w:asciiTheme="majorBidi" w:eastAsia="Times New Roman" w:hAnsiTheme="majorBidi" w:cstheme="majorBidi"/>
          <w:color w:val="000000" w:themeColor="text1"/>
        </w:rPr>
        <w:t>in shareholders’</w:t>
      </w:r>
      <w:r w:rsidR="009721DD" w:rsidRPr="00E63513">
        <w:rPr>
          <w:rFonts w:asciiTheme="majorBidi" w:eastAsia="Times New Roman" w:hAnsiTheme="majorBidi" w:cstheme="majorBidi"/>
          <w:color w:val="000000" w:themeColor="text1"/>
        </w:rPr>
        <w:t xml:space="preserve"> value</w:t>
      </w:r>
      <w:r w:rsidRPr="00E63513">
        <w:rPr>
          <w:rFonts w:asciiTheme="majorBidi" w:eastAsia="Times New Roman" w:hAnsiTheme="majorBidi" w:cstheme="majorBidi"/>
          <w:color w:val="000000" w:themeColor="text1"/>
        </w:rPr>
        <w:t xml:space="preserve"> for conventional banks </w:t>
      </w:r>
      <w:r w:rsidR="00593BD1" w:rsidRPr="00E63513">
        <w:rPr>
          <w:rFonts w:asciiTheme="majorBidi" w:eastAsia="Times New Roman" w:hAnsiTheme="majorBidi" w:cstheme="majorBidi"/>
          <w:color w:val="000000" w:themeColor="text1"/>
        </w:rPr>
        <w:t>but it</w:t>
      </w:r>
      <w:r w:rsidRPr="00E63513">
        <w:rPr>
          <w:rFonts w:asciiTheme="majorBidi" w:eastAsia="Times New Roman" w:hAnsiTheme="majorBidi" w:cstheme="majorBidi"/>
          <w:color w:val="000000" w:themeColor="text1"/>
        </w:rPr>
        <w:t xml:space="preserve"> </w:t>
      </w:r>
      <w:r w:rsidR="00593BD1" w:rsidRPr="00E63513">
        <w:rPr>
          <w:rFonts w:asciiTheme="majorBidi" w:eastAsia="Times New Roman" w:hAnsiTheme="majorBidi" w:cstheme="majorBidi"/>
          <w:color w:val="000000" w:themeColor="text1"/>
        </w:rPr>
        <w:t>does</w:t>
      </w:r>
      <w:r w:rsidRPr="00E63513">
        <w:rPr>
          <w:rFonts w:asciiTheme="majorBidi" w:eastAsia="Times New Roman" w:hAnsiTheme="majorBidi" w:cstheme="majorBidi"/>
          <w:color w:val="000000" w:themeColor="text1"/>
        </w:rPr>
        <w:t xml:space="preserve"> not </w:t>
      </w:r>
      <w:r w:rsidR="00E836F5" w:rsidRPr="00E63513">
        <w:rPr>
          <w:rFonts w:asciiTheme="majorBidi" w:eastAsia="Times New Roman" w:hAnsiTheme="majorBidi" w:cstheme="majorBidi"/>
          <w:color w:val="000000" w:themeColor="text1"/>
        </w:rPr>
        <w:t xml:space="preserve">any adverse effect in the case of </w:t>
      </w:r>
      <w:r w:rsidRPr="00E63513">
        <w:rPr>
          <w:rFonts w:asciiTheme="majorBidi" w:eastAsia="Times New Roman" w:hAnsiTheme="majorBidi" w:cstheme="majorBidi"/>
          <w:color w:val="000000" w:themeColor="text1"/>
        </w:rPr>
        <w:t xml:space="preserve">Islamic banks. We also indicate that </w:t>
      </w:r>
      <w:r w:rsidR="00E836F5" w:rsidRPr="00E63513">
        <w:rPr>
          <w:rFonts w:asciiTheme="majorBidi" w:eastAsia="Times New Roman" w:hAnsiTheme="majorBidi" w:cstheme="majorBidi"/>
          <w:color w:val="000000" w:themeColor="text1"/>
        </w:rPr>
        <w:t xml:space="preserve">declines in cost efficiency </w:t>
      </w:r>
      <w:r w:rsidRPr="00E63513">
        <w:rPr>
          <w:rFonts w:asciiTheme="majorBidi" w:eastAsia="Times New Roman" w:hAnsiTheme="majorBidi" w:cstheme="majorBidi"/>
          <w:color w:val="000000" w:themeColor="text1"/>
        </w:rPr>
        <w:t xml:space="preserve">have a negative impact on </w:t>
      </w:r>
      <w:r w:rsidR="009721DD"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of both </w:t>
      </w:r>
      <w:r w:rsidR="001C3E50" w:rsidRPr="00E63513">
        <w:rPr>
          <w:rFonts w:asciiTheme="majorBidi" w:eastAsia="Times New Roman" w:hAnsiTheme="majorBidi" w:cstheme="majorBidi"/>
          <w:color w:val="000000" w:themeColor="text1"/>
        </w:rPr>
        <w:t xml:space="preserve">conventional and Islamic banks. Our </w:t>
      </w:r>
      <w:r w:rsidRPr="00E63513">
        <w:rPr>
          <w:rFonts w:asciiTheme="majorBidi" w:eastAsia="Times New Roman" w:hAnsiTheme="majorBidi" w:cstheme="majorBidi"/>
          <w:color w:val="000000" w:themeColor="text1"/>
        </w:rPr>
        <w:t xml:space="preserve">findings further suggest that </w:t>
      </w:r>
      <w:r w:rsidR="00E836F5" w:rsidRPr="00E63513">
        <w:rPr>
          <w:rFonts w:asciiTheme="majorBidi" w:eastAsia="Times New Roman" w:hAnsiTheme="majorBidi" w:cstheme="majorBidi"/>
          <w:color w:val="000000" w:themeColor="text1"/>
        </w:rPr>
        <w:t xml:space="preserve">greater size of loans </w:t>
      </w:r>
      <w:r w:rsidR="000376DF" w:rsidRPr="00E63513">
        <w:rPr>
          <w:rFonts w:asciiTheme="majorBidi" w:eastAsia="Times New Roman" w:hAnsiTheme="majorBidi" w:cstheme="majorBidi"/>
          <w:color w:val="000000" w:themeColor="text1"/>
        </w:rPr>
        <w:t>book decrease</w:t>
      </w:r>
      <w:r w:rsidR="00280355" w:rsidRPr="00E63513">
        <w:rPr>
          <w:rFonts w:asciiTheme="majorBidi" w:eastAsia="Times New Roman" w:hAnsiTheme="majorBidi" w:cstheme="majorBidi"/>
          <w:color w:val="000000" w:themeColor="text1"/>
        </w:rPr>
        <w:t xml:space="preserve"> the </w:t>
      </w:r>
      <w:r w:rsidRPr="00E63513">
        <w:rPr>
          <w:rFonts w:asciiTheme="majorBidi" w:eastAsia="Times New Roman" w:hAnsiTheme="majorBidi" w:cstheme="majorBidi"/>
          <w:color w:val="000000" w:themeColor="text1"/>
        </w:rPr>
        <w:t xml:space="preserve">conventional banks' </w:t>
      </w:r>
      <w:r w:rsidR="009721DD" w:rsidRPr="00E63513">
        <w:rPr>
          <w:rFonts w:asciiTheme="majorBidi" w:eastAsia="Times New Roman" w:hAnsiTheme="majorBidi" w:cstheme="majorBidi"/>
          <w:color w:val="000000" w:themeColor="text1"/>
        </w:rPr>
        <w:t>shareholders value</w:t>
      </w:r>
      <w:r w:rsidRPr="00E63513">
        <w:rPr>
          <w:rFonts w:asciiTheme="majorBidi" w:eastAsia="Times New Roman" w:hAnsiTheme="majorBidi" w:cstheme="majorBidi"/>
          <w:color w:val="000000" w:themeColor="text1"/>
        </w:rPr>
        <w:t xml:space="preserve"> </w:t>
      </w:r>
      <w:r w:rsidR="000376DF" w:rsidRPr="00E63513">
        <w:rPr>
          <w:rFonts w:asciiTheme="majorBidi" w:eastAsia="Times New Roman" w:hAnsiTheme="majorBidi" w:cstheme="majorBidi"/>
          <w:color w:val="000000" w:themeColor="text1"/>
        </w:rPr>
        <w:t>but the opposite is true for Islamic banks.</w:t>
      </w:r>
      <w:r w:rsidRPr="00E63513">
        <w:rPr>
          <w:rFonts w:asciiTheme="majorBidi" w:eastAsia="Times New Roman" w:hAnsiTheme="majorBidi" w:cstheme="majorBidi"/>
          <w:color w:val="000000" w:themeColor="text1"/>
        </w:rPr>
        <w:t xml:space="preserve"> In contrast to Islamic banks, </w:t>
      </w:r>
      <w:r w:rsidR="007B03B9" w:rsidRPr="00E63513">
        <w:rPr>
          <w:rFonts w:asciiTheme="majorBidi" w:eastAsia="Times New Roman" w:hAnsiTheme="majorBidi" w:cstheme="majorBidi"/>
          <w:color w:val="000000" w:themeColor="text1"/>
        </w:rPr>
        <w:t xml:space="preserve">a </w:t>
      </w:r>
      <w:r w:rsidR="00AA607B" w:rsidRPr="00E63513">
        <w:rPr>
          <w:rFonts w:asciiTheme="majorBidi" w:eastAsia="Times New Roman" w:hAnsiTheme="majorBidi" w:cstheme="majorBidi"/>
          <w:color w:val="000000" w:themeColor="text1"/>
        </w:rPr>
        <w:t xml:space="preserve">higher level of liquidity has </w:t>
      </w:r>
      <w:r w:rsidR="007B03B9" w:rsidRPr="00E63513">
        <w:rPr>
          <w:rFonts w:asciiTheme="majorBidi" w:eastAsia="Times New Roman" w:hAnsiTheme="majorBidi" w:cstheme="majorBidi"/>
          <w:color w:val="000000" w:themeColor="text1"/>
        </w:rPr>
        <w:t xml:space="preserve">a </w:t>
      </w:r>
      <w:r w:rsidR="00AA607B" w:rsidRPr="00E63513">
        <w:rPr>
          <w:rFonts w:asciiTheme="majorBidi" w:eastAsia="Times New Roman" w:hAnsiTheme="majorBidi" w:cstheme="majorBidi"/>
          <w:color w:val="000000" w:themeColor="text1"/>
        </w:rPr>
        <w:t>negative and significant effect on the shareholders’ value of conventional banks</w:t>
      </w:r>
      <w:r w:rsidRPr="00E63513">
        <w:rPr>
          <w:rFonts w:asciiTheme="majorBidi" w:eastAsia="Times New Roman" w:hAnsiTheme="majorBidi" w:cstheme="majorBidi"/>
          <w:color w:val="000000" w:themeColor="text1"/>
        </w:rPr>
        <w:t xml:space="preserve">. </w:t>
      </w:r>
      <w:r w:rsidR="00AA607B" w:rsidRPr="00E63513">
        <w:rPr>
          <w:rFonts w:asciiTheme="majorBidi" w:eastAsia="Times New Roman" w:hAnsiTheme="majorBidi" w:cstheme="majorBidi"/>
          <w:color w:val="000000" w:themeColor="text1"/>
        </w:rPr>
        <w:t xml:space="preserve">In general, </w:t>
      </w:r>
      <w:r w:rsidR="00D923C1" w:rsidRPr="00E63513">
        <w:rPr>
          <w:rFonts w:asciiTheme="majorBidi" w:eastAsia="Times New Roman" w:hAnsiTheme="majorBidi" w:cstheme="majorBidi"/>
          <w:color w:val="000000" w:themeColor="text1"/>
        </w:rPr>
        <w:t xml:space="preserve">larger </w:t>
      </w:r>
      <w:r w:rsidR="00AA607B" w:rsidRPr="00E63513">
        <w:rPr>
          <w:rFonts w:asciiTheme="majorBidi" w:eastAsia="Times New Roman" w:hAnsiTheme="majorBidi" w:cstheme="majorBidi"/>
          <w:color w:val="000000" w:themeColor="text1"/>
        </w:rPr>
        <w:t>size reduces</w:t>
      </w:r>
      <w:r w:rsidRPr="00E63513">
        <w:rPr>
          <w:rFonts w:asciiTheme="majorBidi" w:eastAsia="Times New Roman" w:hAnsiTheme="majorBidi" w:cstheme="majorBidi"/>
          <w:color w:val="000000" w:themeColor="text1"/>
        </w:rPr>
        <w:t xml:space="preserve"> </w:t>
      </w:r>
      <w:r w:rsidR="009721DD" w:rsidRPr="00E63513">
        <w:rPr>
          <w:rFonts w:asciiTheme="majorBidi" w:eastAsia="Times New Roman" w:hAnsiTheme="majorBidi" w:cstheme="majorBidi"/>
          <w:color w:val="000000" w:themeColor="text1"/>
        </w:rPr>
        <w:t>shareholders</w:t>
      </w:r>
      <w:r w:rsidR="00D923C1" w:rsidRPr="00E63513">
        <w:rPr>
          <w:rFonts w:asciiTheme="majorBidi" w:eastAsia="Times New Roman" w:hAnsiTheme="majorBidi" w:cstheme="majorBidi"/>
          <w:color w:val="000000" w:themeColor="text1"/>
        </w:rPr>
        <w:t>’</w:t>
      </w:r>
      <w:r w:rsidR="009721DD" w:rsidRPr="00E63513">
        <w:rPr>
          <w:rFonts w:asciiTheme="majorBidi" w:eastAsia="Times New Roman" w:hAnsiTheme="majorBidi" w:cstheme="majorBidi"/>
          <w:color w:val="000000" w:themeColor="text1"/>
        </w:rPr>
        <w:t xml:space="preserve"> value</w:t>
      </w:r>
      <w:r w:rsidRPr="00E63513">
        <w:rPr>
          <w:rFonts w:asciiTheme="majorBidi" w:eastAsia="Times New Roman" w:hAnsiTheme="majorBidi" w:cstheme="majorBidi"/>
          <w:color w:val="000000" w:themeColor="text1"/>
        </w:rPr>
        <w:t xml:space="preserve"> </w:t>
      </w:r>
      <w:r w:rsidR="00D76665" w:rsidRPr="00E63513">
        <w:rPr>
          <w:rFonts w:asciiTheme="majorBidi" w:eastAsia="Times New Roman" w:hAnsiTheme="majorBidi" w:cstheme="majorBidi"/>
          <w:color w:val="000000" w:themeColor="text1"/>
        </w:rPr>
        <w:t>of banks in Saudi Arabia</w:t>
      </w:r>
      <w:r w:rsidR="001C3E50" w:rsidRPr="00E63513">
        <w:rPr>
          <w:rFonts w:asciiTheme="majorBidi" w:eastAsia="Times New Roman" w:hAnsiTheme="majorBidi" w:cstheme="majorBidi"/>
          <w:color w:val="000000" w:themeColor="text1"/>
        </w:rPr>
        <w:t xml:space="preserve">. </w:t>
      </w:r>
    </w:p>
    <w:p w:rsidR="004B23A1" w:rsidRPr="00E63513" w:rsidRDefault="00D76665" w:rsidP="004B23A1">
      <w:pPr>
        <w:spacing w:after="0" w:line="240" w:lineRule="auto"/>
        <w:ind w:firstLine="720"/>
        <w:jc w:val="both"/>
        <w:rPr>
          <w:rFonts w:asciiTheme="majorBidi" w:eastAsia="Times New Roman" w:hAnsiTheme="majorBidi" w:cstheme="majorBidi"/>
          <w:color w:val="000000" w:themeColor="text1"/>
        </w:rPr>
      </w:pPr>
      <w:r w:rsidRPr="00E63513">
        <w:rPr>
          <w:rFonts w:asciiTheme="majorBidi" w:eastAsia="Times New Roman" w:hAnsiTheme="majorBidi" w:cstheme="majorBidi"/>
          <w:color w:val="000000" w:themeColor="text1"/>
        </w:rPr>
        <w:t>Our results have several policy implications</w:t>
      </w:r>
      <w:r w:rsidR="006811A4" w:rsidRPr="00E63513">
        <w:rPr>
          <w:rFonts w:asciiTheme="majorBidi" w:eastAsia="Times New Roman" w:hAnsiTheme="majorBidi" w:cstheme="majorBidi"/>
          <w:color w:val="000000" w:themeColor="text1"/>
        </w:rPr>
        <w:t xml:space="preserve">. Findings indicate that </w:t>
      </w:r>
      <w:r w:rsidRPr="00E63513">
        <w:rPr>
          <w:rFonts w:asciiTheme="majorBidi" w:eastAsia="Times New Roman" w:hAnsiTheme="majorBidi" w:cstheme="majorBidi"/>
          <w:color w:val="000000" w:themeColor="text1"/>
        </w:rPr>
        <w:t xml:space="preserve">regulators and policymakers need to keep a close watch on the lending activities of </w:t>
      </w:r>
      <w:r w:rsidR="006811A4" w:rsidRPr="00E63513">
        <w:rPr>
          <w:rFonts w:asciiTheme="majorBidi" w:eastAsia="Times New Roman" w:hAnsiTheme="majorBidi" w:cstheme="majorBidi"/>
          <w:color w:val="000000" w:themeColor="text1"/>
        </w:rPr>
        <w:t xml:space="preserve">the </w:t>
      </w:r>
      <w:r w:rsidRPr="00E63513">
        <w:rPr>
          <w:rFonts w:asciiTheme="majorBidi" w:eastAsia="Times New Roman" w:hAnsiTheme="majorBidi" w:cstheme="majorBidi"/>
          <w:color w:val="000000" w:themeColor="text1"/>
        </w:rPr>
        <w:t>conventional banks.</w:t>
      </w:r>
      <w:r w:rsidR="005B4A47" w:rsidRPr="00E63513">
        <w:rPr>
          <w:rFonts w:asciiTheme="majorBidi" w:eastAsia="Times New Roman" w:hAnsiTheme="majorBidi" w:cstheme="majorBidi"/>
          <w:color w:val="000000" w:themeColor="text1"/>
        </w:rPr>
        <w:t xml:space="preserve"> </w:t>
      </w:r>
      <w:r w:rsidR="00973F8B" w:rsidRPr="00E63513">
        <w:rPr>
          <w:rFonts w:asciiTheme="majorBidi" w:eastAsia="Times New Roman" w:hAnsiTheme="majorBidi" w:cstheme="majorBidi"/>
          <w:color w:val="000000" w:themeColor="text1"/>
        </w:rPr>
        <w:t xml:space="preserve">Clearly, Islamic banks are playing a significant role in the Saudi Arabia banking sector, which is reflected in the significant positive association between </w:t>
      </w:r>
      <w:r w:rsidR="00A82166" w:rsidRPr="00E63513">
        <w:rPr>
          <w:rFonts w:asciiTheme="majorBidi" w:eastAsia="Times New Roman" w:hAnsiTheme="majorBidi" w:cstheme="majorBidi"/>
          <w:color w:val="000000" w:themeColor="text1"/>
        </w:rPr>
        <w:t xml:space="preserve">shareholders' value and </w:t>
      </w:r>
      <w:r w:rsidR="00E151C4" w:rsidRPr="00E63513">
        <w:rPr>
          <w:rFonts w:asciiTheme="majorBidi" w:eastAsia="Times New Roman" w:hAnsiTheme="majorBidi" w:cstheme="majorBidi"/>
          <w:color w:val="000000" w:themeColor="text1"/>
        </w:rPr>
        <w:t>the liquidity and the lending activities of this group.</w:t>
      </w:r>
      <w:r w:rsidR="00280355" w:rsidRPr="00E63513">
        <w:rPr>
          <w:rFonts w:asciiTheme="majorBidi" w:eastAsia="Times New Roman" w:hAnsiTheme="majorBidi" w:cstheme="majorBidi"/>
          <w:color w:val="000000" w:themeColor="text1"/>
        </w:rPr>
        <w:t xml:space="preserve"> </w:t>
      </w:r>
      <w:r w:rsidR="004B23A1" w:rsidRPr="00E63513">
        <w:rPr>
          <w:rFonts w:asciiTheme="majorBidi" w:eastAsia="Times New Roman" w:hAnsiTheme="majorBidi" w:cstheme="majorBidi"/>
          <w:color w:val="000000" w:themeColor="text1"/>
        </w:rPr>
        <w:t>SAMA, the central bank of the country</w:t>
      </w:r>
      <w:r w:rsidR="006811A4" w:rsidRPr="00E63513">
        <w:rPr>
          <w:rFonts w:asciiTheme="majorBidi" w:eastAsia="Times New Roman" w:hAnsiTheme="majorBidi" w:cstheme="majorBidi"/>
          <w:color w:val="000000" w:themeColor="text1"/>
        </w:rPr>
        <w:t>,</w:t>
      </w:r>
      <w:r w:rsidR="004B23A1" w:rsidRPr="00E63513">
        <w:rPr>
          <w:rFonts w:asciiTheme="majorBidi" w:eastAsia="Times New Roman" w:hAnsiTheme="majorBidi" w:cstheme="majorBidi"/>
          <w:color w:val="000000" w:themeColor="text1"/>
        </w:rPr>
        <w:t xml:space="preserve"> may like to impress upon the importance of implementing cost efficiency measure in the case of both the conventional as well as Islamic banks. Moreover, the SAMA may like to </w:t>
      </w:r>
      <w:r w:rsidR="004B23A1" w:rsidRPr="00E63513">
        <w:rPr>
          <w:rFonts w:asciiTheme="majorBidi" w:eastAsia="Times New Roman" w:hAnsiTheme="majorBidi" w:cstheme="majorBidi"/>
          <w:color w:val="000000" w:themeColor="text1"/>
        </w:rPr>
        <w:lastRenderedPageBreak/>
        <w:t>monitor the size of the banks in the country in view of the findings that size has a negative association with the shareholders’ value both in the case of conventional and Islamic Banks.</w:t>
      </w:r>
    </w:p>
    <w:p w:rsidR="00FB019C" w:rsidRPr="00E63513" w:rsidRDefault="004B23A1" w:rsidP="004B23A1">
      <w:pPr>
        <w:spacing w:after="0" w:line="240" w:lineRule="auto"/>
        <w:ind w:firstLine="720"/>
        <w:jc w:val="both"/>
        <w:rPr>
          <w:rFonts w:asciiTheme="majorBidi" w:eastAsia="Times New Roman" w:hAnsiTheme="majorBidi" w:cstheme="majorBidi"/>
          <w:b/>
          <w:bCs/>
          <w:color w:val="000000" w:themeColor="text1"/>
        </w:rPr>
      </w:pPr>
      <w:r w:rsidRPr="00E63513">
        <w:rPr>
          <w:rFonts w:asciiTheme="majorBidi" w:eastAsia="Times New Roman" w:hAnsiTheme="majorBidi" w:cstheme="majorBidi"/>
          <w:color w:val="000000" w:themeColor="text1"/>
        </w:rPr>
        <w:t>Future research in this arena may incorporate Economic Value Added</w:t>
      </w:r>
      <w:r w:rsidR="00300750" w:rsidRPr="00E63513">
        <w:rPr>
          <w:rFonts w:asciiTheme="majorBidi" w:eastAsia="Times New Roman" w:hAnsiTheme="majorBidi" w:cstheme="majorBidi"/>
          <w:color w:val="000000" w:themeColor="text1"/>
        </w:rPr>
        <w:t xml:space="preserve"> </w:t>
      </w:r>
      <w:r w:rsidRPr="00E63513">
        <w:rPr>
          <w:rFonts w:asciiTheme="majorBidi" w:eastAsia="Times New Roman" w:hAnsiTheme="majorBidi" w:cstheme="majorBidi"/>
          <w:color w:val="000000" w:themeColor="text1"/>
        </w:rPr>
        <w:t xml:space="preserve">(EVA) measure as an additional parameter to reflect shareholders’ value. In addition, macroeconomic parameters, which have a direct bearing on the performance of </w:t>
      </w:r>
      <w:r w:rsidR="00300750" w:rsidRPr="00E63513">
        <w:rPr>
          <w:rFonts w:asciiTheme="majorBidi" w:eastAsia="Times New Roman" w:hAnsiTheme="majorBidi" w:cstheme="majorBidi"/>
          <w:color w:val="000000" w:themeColor="text1"/>
        </w:rPr>
        <w:t>banks,</w:t>
      </w:r>
      <w:r w:rsidRPr="00E63513">
        <w:rPr>
          <w:rFonts w:asciiTheme="majorBidi" w:eastAsia="Times New Roman" w:hAnsiTheme="majorBidi" w:cstheme="majorBidi"/>
          <w:color w:val="000000" w:themeColor="text1"/>
        </w:rPr>
        <w:t xml:space="preserve"> may also be included.</w:t>
      </w:r>
    </w:p>
    <w:p w:rsidR="00344E34" w:rsidRPr="00E63513" w:rsidRDefault="00344E34" w:rsidP="00E174F5">
      <w:pPr>
        <w:spacing w:after="0" w:line="240" w:lineRule="auto"/>
        <w:jc w:val="both"/>
        <w:rPr>
          <w:rFonts w:asciiTheme="majorBidi" w:eastAsia="Times New Roman" w:hAnsiTheme="majorBidi" w:cstheme="majorBidi"/>
          <w:color w:val="000000" w:themeColor="text1"/>
        </w:rPr>
      </w:pPr>
    </w:p>
    <w:p w:rsidR="00A23A0B" w:rsidRPr="00E63513" w:rsidRDefault="00A23A0B" w:rsidP="00D52C91">
      <w:pPr>
        <w:spacing w:line="240" w:lineRule="auto"/>
        <w:rPr>
          <w:rFonts w:asciiTheme="majorBidi" w:hAnsiTheme="majorBidi" w:cstheme="majorBidi"/>
          <w:b/>
          <w:bCs/>
          <w:color w:val="000000" w:themeColor="text1"/>
        </w:rPr>
      </w:pPr>
      <w:r w:rsidRPr="00E63513">
        <w:rPr>
          <w:rFonts w:asciiTheme="majorBidi" w:eastAsia="Times New Roman" w:hAnsiTheme="majorBidi" w:cstheme="majorBidi"/>
          <w:b/>
          <w:bCs/>
          <w:color w:val="000000" w:themeColor="text1"/>
        </w:rPr>
        <w:t>References</w:t>
      </w:r>
    </w:p>
    <w:p w:rsidR="00372D9D" w:rsidRPr="00E63513" w:rsidRDefault="005A7E00"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heme="majorBidi" w:eastAsia="Times New Roman" w:hAnsiTheme="majorBidi" w:cstheme="majorBidi"/>
          <w:color w:val="000000" w:themeColor="text1"/>
        </w:rPr>
        <w:t xml:space="preserve"> </w:t>
      </w:r>
      <w:r w:rsidR="00372D9D" w:rsidRPr="00E63513">
        <w:rPr>
          <w:rFonts w:asciiTheme="majorBidi" w:eastAsia="Times New Roman" w:hAnsiTheme="majorBidi" w:cstheme="majorBidi"/>
          <w:color w:val="000000" w:themeColor="text1"/>
        </w:rPr>
        <w:fldChar w:fldCharType="begin" w:fldLock="1"/>
      </w:r>
      <w:r w:rsidR="00372D9D" w:rsidRPr="00E63513">
        <w:rPr>
          <w:rFonts w:asciiTheme="majorBidi" w:eastAsia="Times New Roman" w:hAnsiTheme="majorBidi" w:cstheme="majorBidi"/>
          <w:color w:val="000000" w:themeColor="text1"/>
        </w:rPr>
        <w:instrText xml:space="preserve">ADDIN Mendeley Bibliography CSL_BIBLIOGRAPHY </w:instrText>
      </w:r>
      <w:r w:rsidR="00372D9D" w:rsidRPr="00E63513">
        <w:rPr>
          <w:rFonts w:asciiTheme="majorBidi" w:eastAsia="Times New Roman" w:hAnsiTheme="majorBidi" w:cstheme="majorBidi"/>
          <w:color w:val="000000" w:themeColor="text1"/>
        </w:rPr>
        <w:fldChar w:fldCharType="separate"/>
      </w:r>
      <w:r w:rsidR="00372D9D" w:rsidRPr="00E63513">
        <w:rPr>
          <w:rFonts w:ascii="Times New Roman" w:hAnsi="Times New Roman" w:cs="Times New Roman"/>
          <w:noProof/>
          <w:color w:val="000000" w:themeColor="text1"/>
          <w:szCs w:val="24"/>
        </w:rPr>
        <w:t xml:space="preserve">Abraham, A. (2013). Foreign ownership and bank performance metrics in Saudi Arabia. </w:t>
      </w:r>
      <w:r w:rsidR="00372D9D" w:rsidRPr="00E63513">
        <w:rPr>
          <w:rFonts w:ascii="Times New Roman" w:hAnsi="Times New Roman" w:cs="Times New Roman"/>
          <w:i/>
          <w:iCs/>
          <w:noProof/>
          <w:color w:val="000000" w:themeColor="text1"/>
          <w:szCs w:val="24"/>
        </w:rPr>
        <w:t>International Journal of Islamic and Middle Eastern Finance and Management</w:t>
      </w:r>
      <w:r w:rsidR="00372D9D" w:rsidRPr="00E63513">
        <w:rPr>
          <w:rFonts w:ascii="Times New Roman" w:hAnsi="Times New Roman" w:cs="Times New Roman"/>
          <w:noProof/>
          <w:color w:val="000000" w:themeColor="text1"/>
          <w:szCs w:val="24"/>
        </w:rPr>
        <w:t xml:space="preserve">, </w:t>
      </w:r>
      <w:r w:rsidR="00372D9D" w:rsidRPr="00E63513">
        <w:rPr>
          <w:rFonts w:ascii="Times New Roman" w:hAnsi="Times New Roman" w:cs="Times New Roman"/>
          <w:i/>
          <w:iCs/>
          <w:noProof/>
          <w:color w:val="000000" w:themeColor="text1"/>
          <w:szCs w:val="24"/>
        </w:rPr>
        <w:t>6</w:t>
      </w:r>
      <w:r w:rsidR="00372D9D" w:rsidRPr="00E63513">
        <w:rPr>
          <w:rFonts w:ascii="Times New Roman" w:hAnsi="Times New Roman" w:cs="Times New Roman"/>
          <w:noProof/>
          <w:color w:val="000000" w:themeColor="text1"/>
          <w:szCs w:val="24"/>
        </w:rPr>
        <w:t>(1), 43–50.</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Akhtar, M. H. (2010). Are Saudi banks productive and efficient ? </w:t>
      </w:r>
      <w:r w:rsidRPr="00E63513">
        <w:rPr>
          <w:rFonts w:ascii="Times New Roman" w:hAnsi="Times New Roman" w:cs="Times New Roman"/>
          <w:i/>
          <w:iCs/>
          <w:noProof/>
          <w:color w:val="000000" w:themeColor="text1"/>
          <w:szCs w:val="24"/>
        </w:rPr>
        <w:t>International Journal of Islamic and Middle Eastern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w:t>
      </w:r>
      <w:r w:rsidRPr="00E63513">
        <w:rPr>
          <w:rFonts w:ascii="Times New Roman" w:hAnsi="Times New Roman" w:cs="Times New Roman"/>
          <w:noProof/>
          <w:color w:val="000000" w:themeColor="text1"/>
          <w:szCs w:val="24"/>
        </w:rPr>
        <w:t>(2), 95–112.</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Almazari, A. A. (2013). Capital adequacy, cost income ratio and the performance of Saudi banks (2007-2011). </w:t>
      </w:r>
      <w:r w:rsidRPr="00E63513">
        <w:rPr>
          <w:rFonts w:ascii="Times New Roman" w:hAnsi="Times New Roman" w:cs="Times New Roman"/>
          <w:i/>
          <w:iCs/>
          <w:noProof/>
          <w:color w:val="000000" w:themeColor="text1"/>
          <w:szCs w:val="24"/>
        </w:rPr>
        <w:t>International Journal of Academic Research in Accounting, Finance and Management Sciences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w:t>
      </w:r>
      <w:r w:rsidRPr="00E63513">
        <w:rPr>
          <w:rFonts w:ascii="Times New Roman" w:hAnsi="Times New Roman" w:cs="Times New Roman"/>
          <w:noProof/>
          <w:color w:val="000000" w:themeColor="text1"/>
          <w:szCs w:val="24"/>
        </w:rPr>
        <w:t>(4), 284–293.</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Almumani, M. A. (2013a). Liquidity risk management : A comparative study between Saudi and Jordanian banks. </w:t>
      </w:r>
      <w:r w:rsidRPr="00E63513">
        <w:rPr>
          <w:rFonts w:ascii="Times New Roman" w:hAnsi="Times New Roman" w:cs="Times New Roman"/>
          <w:i/>
          <w:iCs/>
          <w:noProof/>
          <w:color w:val="000000" w:themeColor="text1"/>
          <w:szCs w:val="24"/>
        </w:rPr>
        <w:t>Interdisciplinary Journal of Research in Business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w:t>
      </w:r>
      <w:r w:rsidRPr="00E63513">
        <w:rPr>
          <w:rFonts w:ascii="Times New Roman" w:hAnsi="Times New Roman" w:cs="Times New Roman"/>
          <w:noProof/>
          <w:color w:val="000000" w:themeColor="text1"/>
          <w:szCs w:val="24"/>
        </w:rPr>
        <w:t>(2), 1–10.</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Almumani, M. A. (2013b). The Relative Efficiency of Saudi Banks : Data Envelopment Analysis Models. </w:t>
      </w:r>
      <w:r w:rsidRPr="00E63513">
        <w:rPr>
          <w:rFonts w:ascii="Times New Roman" w:hAnsi="Times New Roman" w:cs="Times New Roman"/>
          <w:i/>
          <w:iCs/>
          <w:noProof/>
          <w:color w:val="000000" w:themeColor="text1"/>
          <w:szCs w:val="24"/>
        </w:rPr>
        <w:t>International Journal of Academic Research in Accounting, Finance and Management Sciences,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w:t>
      </w:r>
      <w:r w:rsidRPr="00E63513">
        <w:rPr>
          <w:rFonts w:ascii="Times New Roman" w:hAnsi="Times New Roman" w:cs="Times New Roman"/>
          <w:noProof/>
          <w:color w:val="000000" w:themeColor="text1"/>
          <w:szCs w:val="24"/>
        </w:rPr>
        <w:t>(3), 152–161.</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Almumani, M. A. (2014). A comparison of financial performance of Saudi banks. </w:t>
      </w:r>
      <w:r w:rsidRPr="00E63513">
        <w:rPr>
          <w:rFonts w:ascii="Times New Roman" w:hAnsi="Times New Roman" w:cs="Times New Roman"/>
          <w:i/>
          <w:iCs/>
          <w:noProof/>
          <w:color w:val="000000" w:themeColor="text1"/>
          <w:szCs w:val="24"/>
        </w:rPr>
        <w:t>Asian Journal of Research in Banking &amp;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4</w:t>
      </w:r>
      <w:r w:rsidRPr="00E63513">
        <w:rPr>
          <w:rFonts w:ascii="Times New Roman" w:hAnsi="Times New Roman" w:cs="Times New Roman"/>
          <w:noProof/>
          <w:color w:val="000000" w:themeColor="text1"/>
          <w:szCs w:val="24"/>
        </w:rPr>
        <w:t>(2), 18–20.</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Arif, A., &amp; Anees, A. N. (2012). Liquidity risk and performance of banking system. </w:t>
      </w:r>
      <w:r w:rsidRPr="00E63513">
        <w:rPr>
          <w:rFonts w:ascii="Times New Roman" w:hAnsi="Times New Roman" w:cs="Times New Roman"/>
          <w:i/>
          <w:iCs/>
          <w:noProof/>
          <w:color w:val="000000" w:themeColor="text1"/>
          <w:szCs w:val="24"/>
        </w:rPr>
        <w:t>Journal of Financial Regulation and Compliance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20</w:t>
      </w:r>
      <w:r w:rsidRPr="00E63513">
        <w:rPr>
          <w:rFonts w:ascii="Times New Roman" w:hAnsi="Times New Roman" w:cs="Times New Roman"/>
          <w:noProof/>
          <w:color w:val="000000" w:themeColor="text1"/>
          <w:szCs w:val="24"/>
        </w:rPr>
        <w:t>(2), 182–195.</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Choong, Y. V., Thim, C. K., &amp; Kyzy, B. T. (2012). Performance of Islamic commercial banks in Malaysia : An empirical study. </w:t>
      </w:r>
      <w:r w:rsidRPr="00E63513">
        <w:rPr>
          <w:rFonts w:ascii="Times New Roman" w:hAnsi="Times New Roman" w:cs="Times New Roman"/>
          <w:i/>
          <w:iCs/>
          <w:noProof/>
          <w:color w:val="000000" w:themeColor="text1"/>
          <w:szCs w:val="24"/>
        </w:rPr>
        <w:t>Journal of Islamic Economics, Banking and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8</w:t>
      </w:r>
      <w:r w:rsidRPr="00E63513">
        <w:rPr>
          <w:rFonts w:ascii="Times New Roman" w:hAnsi="Times New Roman" w:cs="Times New Roman"/>
          <w:noProof/>
          <w:color w:val="000000" w:themeColor="text1"/>
          <w:szCs w:val="24"/>
        </w:rPr>
        <w:t>, 67–80.</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Dang, U. (2011). The CAMEL rating system in banking supervision: A case study. </w:t>
      </w:r>
      <w:r w:rsidRPr="00E63513">
        <w:rPr>
          <w:rFonts w:ascii="Times New Roman" w:hAnsi="Times New Roman" w:cs="Times New Roman"/>
          <w:i/>
          <w:iCs/>
          <w:noProof/>
          <w:color w:val="000000" w:themeColor="text1"/>
          <w:szCs w:val="24"/>
        </w:rPr>
        <w:t>Arcada University of Applied Sciences, International Business.</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Doyran, M. A. (2013). Net interest margins and firm performance in developing countries: Evidence from Argentine commercial banks. </w:t>
      </w:r>
      <w:r w:rsidRPr="00E63513">
        <w:rPr>
          <w:rFonts w:ascii="Times New Roman" w:hAnsi="Times New Roman" w:cs="Times New Roman"/>
          <w:i/>
          <w:iCs/>
          <w:noProof/>
          <w:color w:val="000000" w:themeColor="text1"/>
          <w:szCs w:val="24"/>
        </w:rPr>
        <w:t>Management Research Review</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36</w:t>
      </w:r>
      <w:r w:rsidRPr="00E63513">
        <w:rPr>
          <w:rFonts w:ascii="Times New Roman" w:hAnsi="Times New Roman" w:cs="Times New Roman"/>
          <w:noProof/>
          <w:color w:val="000000" w:themeColor="text1"/>
          <w:szCs w:val="24"/>
        </w:rPr>
        <w:t xml:space="preserve">(7), 720–742. </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Gujarati, D. N. (2003). </w:t>
      </w:r>
      <w:r w:rsidRPr="00E63513">
        <w:rPr>
          <w:rFonts w:ascii="Times New Roman" w:hAnsi="Times New Roman" w:cs="Times New Roman"/>
          <w:i/>
          <w:iCs/>
          <w:noProof/>
          <w:color w:val="000000" w:themeColor="text1"/>
          <w:szCs w:val="24"/>
        </w:rPr>
        <w:t>Basic econometrics, 4th edition</w:t>
      </w:r>
      <w:r w:rsidRPr="00E63513">
        <w:rPr>
          <w:rFonts w:ascii="Times New Roman" w:hAnsi="Times New Roman" w:cs="Times New Roman"/>
          <w:noProof/>
          <w:color w:val="000000" w:themeColor="text1"/>
          <w:szCs w:val="24"/>
        </w:rPr>
        <w:t>.</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Hahm, J. (2008). Determinants and consequences of non-interest income diversification of commercial banks in OECD countries. </w:t>
      </w:r>
      <w:r w:rsidRPr="00E63513">
        <w:rPr>
          <w:rFonts w:ascii="Times New Roman" w:hAnsi="Times New Roman" w:cs="Times New Roman"/>
          <w:i/>
          <w:iCs/>
          <w:noProof/>
          <w:color w:val="000000" w:themeColor="text1"/>
          <w:szCs w:val="24"/>
        </w:rPr>
        <w:t>Journal of International Economic Studies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12</w:t>
      </w:r>
      <w:r w:rsidRPr="00E63513">
        <w:rPr>
          <w:rFonts w:ascii="Times New Roman" w:hAnsi="Times New Roman" w:cs="Times New Roman"/>
          <w:noProof/>
          <w:color w:val="000000" w:themeColor="text1"/>
          <w:szCs w:val="24"/>
        </w:rPr>
        <w:t>(1), 3 –32.</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Jara-Bertin, M., Moya, J. A., &amp; Perales, A. R. (2014). Determinants of bank performance : Evidence for Latin America. </w:t>
      </w:r>
      <w:r w:rsidRPr="00E63513">
        <w:rPr>
          <w:rFonts w:ascii="Times New Roman" w:hAnsi="Times New Roman" w:cs="Times New Roman"/>
          <w:i/>
          <w:iCs/>
          <w:noProof/>
          <w:color w:val="000000" w:themeColor="text1"/>
          <w:szCs w:val="24"/>
        </w:rPr>
        <w:t>Academia Revista Latinoamericana de Administración</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27</w:t>
      </w:r>
      <w:r w:rsidRPr="00E63513">
        <w:rPr>
          <w:rFonts w:ascii="Times New Roman" w:hAnsi="Times New Roman" w:cs="Times New Roman"/>
          <w:noProof/>
          <w:color w:val="000000" w:themeColor="text1"/>
          <w:szCs w:val="24"/>
        </w:rPr>
        <w:t>(2), 164–182.</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Jonghe, O. De, &amp; Vennet, R. Vander. (2008). Competition versus efficiency : What drives franchise values in European banking ? </w:t>
      </w:r>
      <w:r w:rsidRPr="00E63513">
        <w:rPr>
          <w:rFonts w:ascii="Times New Roman" w:hAnsi="Times New Roman" w:cs="Times New Roman"/>
          <w:i/>
          <w:iCs/>
          <w:noProof/>
          <w:color w:val="000000" w:themeColor="text1"/>
          <w:szCs w:val="24"/>
        </w:rPr>
        <w:t>Journal of Banking and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32</w:t>
      </w:r>
      <w:r w:rsidRPr="00E63513">
        <w:rPr>
          <w:rFonts w:ascii="Times New Roman" w:hAnsi="Times New Roman" w:cs="Times New Roman"/>
          <w:noProof/>
          <w:color w:val="000000" w:themeColor="text1"/>
          <w:szCs w:val="24"/>
        </w:rPr>
        <w:t>(1), 1829–2835.</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Ongore, V. O., &amp; Kusa, G. B. (2013). Determinants of financial performance of commercial banks in Kenya. </w:t>
      </w:r>
      <w:r w:rsidRPr="00E63513">
        <w:rPr>
          <w:rFonts w:ascii="Times New Roman" w:hAnsi="Times New Roman" w:cs="Times New Roman"/>
          <w:i/>
          <w:iCs/>
          <w:noProof/>
          <w:color w:val="000000" w:themeColor="text1"/>
          <w:szCs w:val="24"/>
        </w:rPr>
        <w:t>International Journal of Economics and Financial Issues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w:t>
      </w:r>
      <w:r w:rsidRPr="00E63513">
        <w:rPr>
          <w:rFonts w:ascii="Times New Roman" w:hAnsi="Times New Roman" w:cs="Times New Roman"/>
          <w:noProof/>
          <w:color w:val="000000" w:themeColor="text1"/>
          <w:szCs w:val="24"/>
        </w:rPr>
        <w:t>(1), 237–252.</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Pasiouras, F., &amp; Kosmidou, K. (2007). Factors influencing the profitability of domestic and foreign commercial banks in the European Union. </w:t>
      </w:r>
      <w:r w:rsidRPr="00E63513">
        <w:rPr>
          <w:rFonts w:ascii="Times New Roman" w:hAnsi="Times New Roman" w:cs="Times New Roman"/>
          <w:i/>
          <w:iCs/>
          <w:noProof/>
          <w:color w:val="000000" w:themeColor="text1"/>
          <w:szCs w:val="24"/>
        </w:rPr>
        <w:t>Research in International Business and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21</w:t>
      </w:r>
      <w:r w:rsidRPr="00E63513">
        <w:rPr>
          <w:rFonts w:ascii="Times New Roman" w:hAnsi="Times New Roman" w:cs="Times New Roman"/>
          <w:noProof/>
          <w:color w:val="000000" w:themeColor="text1"/>
          <w:szCs w:val="24"/>
        </w:rPr>
        <w:t>, 222–237.</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Sangmi, D. M.-D., &amp; Nazir, T. (2010). Analyzing financial performance of commercial banks in India: Application of CAMEL model. </w:t>
      </w:r>
      <w:r w:rsidRPr="00E63513">
        <w:rPr>
          <w:rFonts w:ascii="Times New Roman" w:hAnsi="Times New Roman" w:cs="Times New Roman"/>
          <w:i/>
          <w:iCs/>
          <w:noProof/>
          <w:color w:val="000000" w:themeColor="text1"/>
          <w:szCs w:val="24"/>
        </w:rPr>
        <w:t>Pakistan Journal of Commerce and Social Sciences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4</w:t>
      </w:r>
      <w:r w:rsidRPr="00E63513">
        <w:rPr>
          <w:rFonts w:ascii="Times New Roman" w:hAnsi="Times New Roman" w:cs="Times New Roman"/>
          <w:noProof/>
          <w:color w:val="000000" w:themeColor="text1"/>
          <w:szCs w:val="24"/>
        </w:rPr>
        <w:t xml:space="preserve">(1), 40–55. </w:t>
      </w:r>
    </w:p>
    <w:p w:rsidR="00372D9D" w:rsidRPr="00E63513" w:rsidRDefault="00372D9D" w:rsidP="00372D9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 xml:space="preserve">Shah, S. Q., &amp; Jan, R. (2014). Analysis of financial performance of private banks in Pakistan. </w:t>
      </w:r>
      <w:r w:rsidRPr="00E63513">
        <w:rPr>
          <w:rFonts w:ascii="Times New Roman" w:hAnsi="Times New Roman" w:cs="Times New Roman"/>
          <w:i/>
          <w:iCs/>
          <w:noProof/>
          <w:color w:val="000000" w:themeColor="text1"/>
          <w:szCs w:val="24"/>
        </w:rPr>
        <w:t>Procedia - Social and Behavioral Sciences</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109</w:t>
      </w:r>
      <w:r w:rsidRPr="00E63513">
        <w:rPr>
          <w:rFonts w:ascii="Times New Roman" w:hAnsi="Times New Roman" w:cs="Times New Roman"/>
          <w:noProof/>
          <w:color w:val="000000" w:themeColor="text1"/>
          <w:szCs w:val="24"/>
        </w:rPr>
        <w:t xml:space="preserve">, 1021–1025. </w:t>
      </w:r>
    </w:p>
    <w:p w:rsidR="00CB1D31" w:rsidRPr="00E63513" w:rsidRDefault="00CB1D31" w:rsidP="00CB1D31">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E63513">
        <w:rPr>
          <w:rFonts w:ascii="Times New Roman" w:hAnsi="Times New Roman" w:cs="Times New Roman"/>
          <w:noProof/>
          <w:color w:val="000000" w:themeColor="text1"/>
          <w:szCs w:val="24"/>
        </w:rPr>
        <w:t>Siems, T. F., &amp; Barr, R. S. (1998). Benchmarking the productive efficiency of US banks. </w:t>
      </w:r>
      <w:r w:rsidRPr="00E63513">
        <w:rPr>
          <w:rFonts w:ascii="Times New Roman" w:hAnsi="Times New Roman" w:cs="Times New Roman"/>
          <w:i/>
          <w:iCs/>
          <w:noProof/>
          <w:color w:val="000000" w:themeColor="text1"/>
          <w:szCs w:val="24"/>
        </w:rPr>
        <w:t>Financial Industry Studies</w:t>
      </w:r>
      <w:r w:rsidRPr="00E63513">
        <w:rPr>
          <w:rFonts w:ascii="Times New Roman" w:hAnsi="Times New Roman" w:cs="Times New Roman"/>
          <w:noProof/>
          <w:color w:val="000000" w:themeColor="text1"/>
          <w:szCs w:val="24"/>
        </w:rPr>
        <w:t>, 11-24.</w:t>
      </w:r>
    </w:p>
    <w:p w:rsidR="00486FA5" w:rsidRPr="00E63513" w:rsidRDefault="00372D9D" w:rsidP="0083729C">
      <w:pPr>
        <w:widowControl w:val="0"/>
        <w:autoSpaceDE w:val="0"/>
        <w:autoSpaceDN w:val="0"/>
        <w:adjustRightInd w:val="0"/>
        <w:spacing w:after="0" w:line="240" w:lineRule="auto"/>
        <w:ind w:left="480" w:hanging="480"/>
        <w:jc w:val="both"/>
        <w:rPr>
          <w:rFonts w:asciiTheme="majorBidi" w:hAnsiTheme="majorBidi" w:cstheme="majorBidi"/>
          <w:color w:val="000000" w:themeColor="text1"/>
        </w:rPr>
      </w:pPr>
      <w:r w:rsidRPr="00E63513">
        <w:rPr>
          <w:rFonts w:ascii="Times New Roman" w:hAnsi="Times New Roman" w:cs="Times New Roman"/>
          <w:noProof/>
          <w:color w:val="000000" w:themeColor="text1"/>
          <w:szCs w:val="24"/>
        </w:rPr>
        <w:t xml:space="preserve">Trinugroho, I., Agusman, A., &amp; Tarazi, A. (2014). Why have bank interest margins been so high in Indonesia since the 1997/1998 financial crisis? </w:t>
      </w:r>
      <w:r w:rsidRPr="00E63513">
        <w:rPr>
          <w:rFonts w:ascii="Times New Roman" w:hAnsi="Times New Roman" w:cs="Times New Roman"/>
          <w:i/>
          <w:iCs/>
          <w:noProof/>
          <w:color w:val="000000" w:themeColor="text1"/>
          <w:szCs w:val="24"/>
        </w:rPr>
        <w:t>Research in International Business and Finance</w:t>
      </w:r>
      <w:r w:rsidRPr="00E63513">
        <w:rPr>
          <w:rFonts w:ascii="Times New Roman" w:hAnsi="Times New Roman" w:cs="Times New Roman"/>
          <w:noProof/>
          <w:color w:val="000000" w:themeColor="text1"/>
          <w:szCs w:val="24"/>
        </w:rPr>
        <w:t xml:space="preserve">, </w:t>
      </w:r>
      <w:r w:rsidRPr="00E63513">
        <w:rPr>
          <w:rFonts w:ascii="Times New Roman" w:hAnsi="Times New Roman" w:cs="Times New Roman"/>
          <w:i/>
          <w:iCs/>
          <w:noProof/>
          <w:color w:val="000000" w:themeColor="text1"/>
          <w:szCs w:val="24"/>
        </w:rPr>
        <w:t>32</w:t>
      </w:r>
      <w:r w:rsidRPr="00E63513">
        <w:rPr>
          <w:rFonts w:ascii="Times New Roman" w:hAnsi="Times New Roman" w:cs="Times New Roman"/>
          <w:noProof/>
          <w:color w:val="000000" w:themeColor="text1"/>
          <w:szCs w:val="24"/>
        </w:rPr>
        <w:t xml:space="preserve">, 139–158. </w:t>
      </w:r>
      <w:r w:rsidRPr="00E63513">
        <w:rPr>
          <w:rFonts w:asciiTheme="majorBidi" w:eastAsia="Times New Roman" w:hAnsiTheme="majorBidi" w:cstheme="majorBidi"/>
          <w:color w:val="000000" w:themeColor="text1"/>
        </w:rPr>
        <w:fldChar w:fldCharType="end"/>
      </w:r>
    </w:p>
    <w:sectPr w:rsidR="00486FA5" w:rsidRPr="00E63513" w:rsidSect="0015540E">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E4" w:rsidRDefault="009B19E4" w:rsidP="00F7340D">
      <w:pPr>
        <w:spacing w:after="0" w:line="240" w:lineRule="auto"/>
      </w:pPr>
      <w:r>
        <w:separator/>
      </w:r>
    </w:p>
  </w:endnote>
  <w:endnote w:type="continuationSeparator" w:id="0">
    <w:p w:rsidR="009B19E4" w:rsidRDefault="009B19E4" w:rsidP="00F7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72742"/>
      <w:docPartObj>
        <w:docPartGallery w:val="Page Numbers (Bottom of Page)"/>
        <w:docPartUnique/>
      </w:docPartObj>
    </w:sdtPr>
    <w:sdtEndPr>
      <w:rPr>
        <w:noProof/>
      </w:rPr>
    </w:sdtEndPr>
    <w:sdtContent>
      <w:p w:rsidR="002D6DB7" w:rsidRDefault="002D6DB7">
        <w:pPr>
          <w:pStyle w:val="Footer"/>
          <w:jc w:val="center"/>
        </w:pPr>
        <w:r>
          <w:fldChar w:fldCharType="begin"/>
        </w:r>
        <w:r w:rsidRPr="0015540E">
          <w:instrText xml:space="preserve"> PAGE   \* MERGEFORMAT </w:instrText>
        </w:r>
        <w:r>
          <w:fldChar w:fldCharType="separate"/>
        </w:r>
        <w:r w:rsidR="00E63513">
          <w:rPr>
            <w:noProof/>
          </w:rPr>
          <w:t>1</w:t>
        </w:r>
        <w:r>
          <w:rPr>
            <w:noProof/>
          </w:rPr>
          <w:fldChar w:fldCharType="end"/>
        </w:r>
      </w:p>
    </w:sdtContent>
  </w:sdt>
  <w:p w:rsidR="002D6DB7" w:rsidRDefault="002D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E4" w:rsidRDefault="009B19E4" w:rsidP="00F7340D">
      <w:pPr>
        <w:spacing w:after="0" w:line="240" w:lineRule="auto"/>
      </w:pPr>
      <w:r>
        <w:separator/>
      </w:r>
    </w:p>
  </w:footnote>
  <w:footnote w:type="continuationSeparator" w:id="0">
    <w:p w:rsidR="009B19E4" w:rsidRDefault="009B19E4" w:rsidP="00F73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961"/>
    <w:multiLevelType w:val="hybridMultilevel"/>
    <w:tmpl w:val="D89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1582C"/>
    <w:multiLevelType w:val="hybridMultilevel"/>
    <w:tmpl w:val="EEA82BC4"/>
    <w:lvl w:ilvl="0" w:tplc="FB84BD4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A51E2"/>
    <w:multiLevelType w:val="hybridMultilevel"/>
    <w:tmpl w:val="5EF2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926A4"/>
    <w:multiLevelType w:val="multilevel"/>
    <w:tmpl w:val="28048B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D27B57"/>
    <w:multiLevelType w:val="hybridMultilevel"/>
    <w:tmpl w:val="E59E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174EB"/>
    <w:multiLevelType w:val="hybridMultilevel"/>
    <w:tmpl w:val="9418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64595"/>
    <w:multiLevelType w:val="hybridMultilevel"/>
    <w:tmpl w:val="1946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D3B4F"/>
    <w:multiLevelType w:val="hybridMultilevel"/>
    <w:tmpl w:val="15A2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0037D"/>
    <w:multiLevelType w:val="hybridMultilevel"/>
    <w:tmpl w:val="542C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72331"/>
    <w:multiLevelType w:val="hybridMultilevel"/>
    <w:tmpl w:val="C012F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E5EEB"/>
    <w:multiLevelType w:val="hybridMultilevel"/>
    <w:tmpl w:val="0E66D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03532"/>
    <w:multiLevelType w:val="hybridMultilevel"/>
    <w:tmpl w:val="1AE8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9"/>
  </w:num>
  <w:num w:numId="5">
    <w:abstractNumId w:val="1"/>
  </w:num>
  <w:num w:numId="6">
    <w:abstractNumId w:val="4"/>
  </w:num>
  <w:num w:numId="7">
    <w:abstractNumId w:val="10"/>
  </w:num>
  <w:num w:numId="8">
    <w:abstractNumId w:val="2"/>
  </w:num>
  <w:num w:numId="9">
    <w:abstractNumId w:val="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1MbE0MzYysTS1tDBV0lEKTi0uzszPAykwMqgFAA0G9MMtAAAA"/>
  </w:docVars>
  <w:rsids>
    <w:rsidRoot w:val="00804835"/>
    <w:rsid w:val="00020E92"/>
    <w:rsid w:val="00025781"/>
    <w:rsid w:val="00026CB9"/>
    <w:rsid w:val="000279A9"/>
    <w:rsid w:val="0003192A"/>
    <w:rsid w:val="00032D98"/>
    <w:rsid w:val="00033351"/>
    <w:rsid w:val="000362CC"/>
    <w:rsid w:val="000376DF"/>
    <w:rsid w:val="00041072"/>
    <w:rsid w:val="00046B06"/>
    <w:rsid w:val="00055222"/>
    <w:rsid w:val="0006220A"/>
    <w:rsid w:val="00062627"/>
    <w:rsid w:val="00066D13"/>
    <w:rsid w:val="00066E86"/>
    <w:rsid w:val="000715B5"/>
    <w:rsid w:val="0007221A"/>
    <w:rsid w:val="00074FC4"/>
    <w:rsid w:val="00077034"/>
    <w:rsid w:val="0008067E"/>
    <w:rsid w:val="0008361E"/>
    <w:rsid w:val="00094912"/>
    <w:rsid w:val="00096ADC"/>
    <w:rsid w:val="00097D57"/>
    <w:rsid w:val="000A0E54"/>
    <w:rsid w:val="000A65CE"/>
    <w:rsid w:val="000A6F8B"/>
    <w:rsid w:val="000B1345"/>
    <w:rsid w:val="000B550F"/>
    <w:rsid w:val="000C1447"/>
    <w:rsid w:val="000C20CF"/>
    <w:rsid w:val="000C42FC"/>
    <w:rsid w:val="000C66FC"/>
    <w:rsid w:val="000D37AA"/>
    <w:rsid w:val="000D58F3"/>
    <w:rsid w:val="000D73B4"/>
    <w:rsid w:val="000E0390"/>
    <w:rsid w:val="000E0F04"/>
    <w:rsid w:val="001036A8"/>
    <w:rsid w:val="00105EB8"/>
    <w:rsid w:val="00107FD0"/>
    <w:rsid w:val="00110BC8"/>
    <w:rsid w:val="001123D0"/>
    <w:rsid w:val="0011243B"/>
    <w:rsid w:val="001153BA"/>
    <w:rsid w:val="0012073D"/>
    <w:rsid w:val="0012380C"/>
    <w:rsid w:val="00131777"/>
    <w:rsid w:val="00140997"/>
    <w:rsid w:val="0014378A"/>
    <w:rsid w:val="0014511C"/>
    <w:rsid w:val="00146F86"/>
    <w:rsid w:val="0015540E"/>
    <w:rsid w:val="00160057"/>
    <w:rsid w:val="0016645F"/>
    <w:rsid w:val="0017020F"/>
    <w:rsid w:val="0017363A"/>
    <w:rsid w:val="00175446"/>
    <w:rsid w:val="0018760B"/>
    <w:rsid w:val="00190E0B"/>
    <w:rsid w:val="00190F17"/>
    <w:rsid w:val="00192C44"/>
    <w:rsid w:val="001965D6"/>
    <w:rsid w:val="00197CCA"/>
    <w:rsid w:val="001A2466"/>
    <w:rsid w:val="001A68B8"/>
    <w:rsid w:val="001B4264"/>
    <w:rsid w:val="001B6C48"/>
    <w:rsid w:val="001C3657"/>
    <w:rsid w:val="001C3E50"/>
    <w:rsid w:val="001C7E97"/>
    <w:rsid w:val="001E06F9"/>
    <w:rsid w:val="001E49D3"/>
    <w:rsid w:val="001F1ED0"/>
    <w:rsid w:val="001F3401"/>
    <w:rsid w:val="001F39B0"/>
    <w:rsid w:val="001F567F"/>
    <w:rsid w:val="001F62C8"/>
    <w:rsid w:val="001F6847"/>
    <w:rsid w:val="00204C96"/>
    <w:rsid w:val="00207344"/>
    <w:rsid w:val="00210FEC"/>
    <w:rsid w:val="00211565"/>
    <w:rsid w:val="00225407"/>
    <w:rsid w:val="00226C9D"/>
    <w:rsid w:val="002304D1"/>
    <w:rsid w:val="00235B4C"/>
    <w:rsid w:val="002428B0"/>
    <w:rsid w:val="00246632"/>
    <w:rsid w:val="00247E10"/>
    <w:rsid w:val="00251CA8"/>
    <w:rsid w:val="00253F28"/>
    <w:rsid w:val="002547DB"/>
    <w:rsid w:val="00263700"/>
    <w:rsid w:val="002706A0"/>
    <w:rsid w:val="002710EE"/>
    <w:rsid w:val="00280355"/>
    <w:rsid w:val="0028603C"/>
    <w:rsid w:val="00286AFF"/>
    <w:rsid w:val="00290FE1"/>
    <w:rsid w:val="00292297"/>
    <w:rsid w:val="002925E3"/>
    <w:rsid w:val="00294366"/>
    <w:rsid w:val="00294DFD"/>
    <w:rsid w:val="002A3693"/>
    <w:rsid w:val="002A5B57"/>
    <w:rsid w:val="002A72F1"/>
    <w:rsid w:val="002B0370"/>
    <w:rsid w:val="002B1315"/>
    <w:rsid w:val="002B1B5C"/>
    <w:rsid w:val="002B5879"/>
    <w:rsid w:val="002B597F"/>
    <w:rsid w:val="002C2915"/>
    <w:rsid w:val="002C2C65"/>
    <w:rsid w:val="002C4B2F"/>
    <w:rsid w:val="002C4C8C"/>
    <w:rsid w:val="002C764B"/>
    <w:rsid w:val="002D01E1"/>
    <w:rsid w:val="002D3C0B"/>
    <w:rsid w:val="002D4B7B"/>
    <w:rsid w:val="002D6B21"/>
    <w:rsid w:val="002D6DB7"/>
    <w:rsid w:val="002E0D8B"/>
    <w:rsid w:val="002F1D40"/>
    <w:rsid w:val="002F6E45"/>
    <w:rsid w:val="00300750"/>
    <w:rsid w:val="00303F4A"/>
    <w:rsid w:val="00305418"/>
    <w:rsid w:val="00310F6F"/>
    <w:rsid w:val="00312526"/>
    <w:rsid w:val="00321AB8"/>
    <w:rsid w:val="00325D98"/>
    <w:rsid w:val="00326368"/>
    <w:rsid w:val="00326406"/>
    <w:rsid w:val="003273C4"/>
    <w:rsid w:val="00332244"/>
    <w:rsid w:val="00333645"/>
    <w:rsid w:val="003364E2"/>
    <w:rsid w:val="00337014"/>
    <w:rsid w:val="003422EF"/>
    <w:rsid w:val="0034297A"/>
    <w:rsid w:val="00344E34"/>
    <w:rsid w:val="00360273"/>
    <w:rsid w:val="003634C0"/>
    <w:rsid w:val="0036668C"/>
    <w:rsid w:val="00371303"/>
    <w:rsid w:val="00372D9D"/>
    <w:rsid w:val="00377588"/>
    <w:rsid w:val="00377CC6"/>
    <w:rsid w:val="003860BC"/>
    <w:rsid w:val="003874C6"/>
    <w:rsid w:val="00390B64"/>
    <w:rsid w:val="003915D6"/>
    <w:rsid w:val="00392048"/>
    <w:rsid w:val="00394113"/>
    <w:rsid w:val="00394DD9"/>
    <w:rsid w:val="003964D6"/>
    <w:rsid w:val="0039789D"/>
    <w:rsid w:val="00397D1F"/>
    <w:rsid w:val="003A0774"/>
    <w:rsid w:val="003A286A"/>
    <w:rsid w:val="003A40DB"/>
    <w:rsid w:val="003B0D86"/>
    <w:rsid w:val="003B1ACC"/>
    <w:rsid w:val="003B25AF"/>
    <w:rsid w:val="003B2B3B"/>
    <w:rsid w:val="003B5E14"/>
    <w:rsid w:val="003C44B6"/>
    <w:rsid w:val="003C5FD2"/>
    <w:rsid w:val="003E1BC2"/>
    <w:rsid w:val="003E336D"/>
    <w:rsid w:val="003E3849"/>
    <w:rsid w:val="003F0512"/>
    <w:rsid w:val="003F0B2A"/>
    <w:rsid w:val="003F109A"/>
    <w:rsid w:val="00412DE0"/>
    <w:rsid w:val="00417D01"/>
    <w:rsid w:val="00423F59"/>
    <w:rsid w:val="00437D35"/>
    <w:rsid w:val="00437D5A"/>
    <w:rsid w:val="00441EF9"/>
    <w:rsid w:val="00444362"/>
    <w:rsid w:val="004458E8"/>
    <w:rsid w:val="004460BB"/>
    <w:rsid w:val="00450EA1"/>
    <w:rsid w:val="0045368B"/>
    <w:rsid w:val="00461B67"/>
    <w:rsid w:val="004621A6"/>
    <w:rsid w:val="004629C0"/>
    <w:rsid w:val="004654C2"/>
    <w:rsid w:val="00465565"/>
    <w:rsid w:val="004659E1"/>
    <w:rsid w:val="004706DF"/>
    <w:rsid w:val="00471869"/>
    <w:rsid w:val="00473BB4"/>
    <w:rsid w:val="00475849"/>
    <w:rsid w:val="00476897"/>
    <w:rsid w:val="004819AF"/>
    <w:rsid w:val="00486FA5"/>
    <w:rsid w:val="004908E4"/>
    <w:rsid w:val="00491696"/>
    <w:rsid w:val="00492D53"/>
    <w:rsid w:val="004A0494"/>
    <w:rsid w:val="004A7F4C"/>
    <w:rsid w:val="004B0711"/>
    <w:rsid w:val="004B23A1"/>
    <w:rsid w:val="004B2A59"/>
    <w:rsid w:val="004B5938"/>
    <w:rsid w:val="004C1223"/>
    <w:rsid w:val="004C207E"/>
    <w:rsid w:val="004C46C0"/>
    <w:rsid w:val="004D38D3"/>
    <w:rsid w:val="004D59F5"/>
    <w:rsid w:val="004E1502"/>
    <w:rsid w:val="004E343F"/>
    <w:rsid w:val="004F1F9F"/>
    <w:rsid w:val="004F5B5E"/>
    <w:rsid w:val="00500A0A"/>
    <w:rsid w:val="00512D5F"/>
    <w:rsid w:val="0051560C"/>
    <w:rsid w:val="00521AF6"/>
    <w:rsid w:val="0052320C"/>
    <w:rsid w:val="005269E1"/>
    <w:rsid w:val="005310C4"/>
    <w:rsid w:val="00534E27"/>
    <w:rsid w:val="00544AFC"/>
    <w:rsid w:val="00545A08"/>
    <w:rsid w:val="00546AC5"/>
    <w:rsid w:val="00561571"/>
    <w:rsid w:val="00575425"/>
    <w:rsid w:val="00584728"/>
    <w:rsid w:val="00591D38"/>
    <w:rsid w:val="00593BD1"/>
    <w:rsid w:val="005958E6"/>
    <w:rsid w:val="005976B3"/>
    <w:rsid w:val="005A21ED"/>
    <w:rsid w:val="005A472D"/>
    <w:rsid w:val="005A7E00"/>
    <w:rsid w:val="005B0981"/>
    <w:rsid w:val="005B2798"/>
    <w:rsid w:val="005B4774"/>
    <w:rsid w:val="005B4A47"/>
    <w:rsid w:val="005B5F3E"/>
    <w:rsid w:val="005B60E4"/>
    <w:rsid w:val="005B68CE"/>
    <w:rsid w:val="005C2E04"/>
    <w:rsid w:val="005C30CD"/>
    <w:rsid w:val="005E1E6E"/>
    <w:rsid w:val="005E6258"/>
    <w:rsid w:val="005F0E3D"/>
    <w:rsid w:val="005F1EAA"/>
    <w:rsid w:val="005F21C3"/>
    <w:rsid w:val="00602DAB"/>
    <w:rsid w:val="00610758"/>
    <w:rsid w:val="006208AB"/>
    <w:rsid w:val="00622E71"/>
    <w:rsid w:val="0062564C"/>
    <w:rsid w:val="00626214"/>
    <w:rsid w:val="0062714C"/>
    <w:rsid w:val="0064322C"/>
    <w:rsid w:val="006453E6"/>
    <w:rsid w:val="00651F15"/>
    <w:rsid w:val="00662BE9"/>
    <w:rsid w:val="006719CF"/>
    <w:rsid w:val="00676DA1"/>
    <w:rsid w:val="006811A4"/>
    <w:rsid w:val="0068155F"/>
    <w:rsid w:val="00683695"/>
    <w:rsid w:val="00684EF9"/>
    <w:rsid w:val="00694161"/>
    <w:rsid w:val="006A7216"/>
    <w:rsid w:val="006B05E3"/>
    <w:rsid w:val="006B091A"/>
    <w:rsid w:val="006B2CB4"/>
    <w:rsid w:val="006B44CB"/>
    <w:rsid w:val="006B5A51"/>
    <w:rsid w:val="006C0B97"/>
    <w:rsid w:val="006C56C1"/>
    <w:rsid w:val="006C7613"/>
    <w:rsid w:val="006C7878"/>
    <w:rsid w:val="006D06E7"/>
    <w:rsid w:val="006D4464"/>
    <w:rsid w:val="006D4850"/>
    <w:rsid w:val="006D7386"/>
    <w:rsid w:val="006D7AF4"/>
    <w:rsid w:val="006E5689"/>
    <w:rsid w:val="006F5E1D"/>
    <w:rsid w:val="00712C7F"/>
    <w:rsid w:val="00715A0C"/>
    <w:rsid w:val="00721AE0"/>
    <w:rsid w:val="0072463E"/>
    <w:rsid w:val="0072598C"/>
    <w:rsid w:val="00732FBE"/>
    <w:rsid w:val="00735CBF"/>
    <w:rsid w:val="00740F5A"/>
    <w:rsid w:val="0074578F"/>
    <w:rsid w:val="00745A8D"/>
    <w:rsid w:val="00754A58"/>
    <w:rsid w:val="00754DFE"/>
    <w:rsid w:val="007551CA"/>
    <w:rsid w:val="00761068"/>
    <w:rsid w:val="007654EB"/>
    <w:rsid w:val="00765F1B"/>
    <w:rsid w:val="0078219A"/>
    <w:rsid w:val="007835B1"/>
    <w:rsid w:val="00784028"/>
    <w:rsid w:val="0078679E"/>
    <w:rsid w:val="00786820"/>
    <w:rsid w:val="0079002B"/>
    <w:rsid w:val="007902D8"/>
    <w:rsid w:val="00795D64"/>
    <w:rsid w:val="007A748C"/>
    <w:rsid w:val="007A7560"/>
    <w:rsid w:val="007B03B9"/>
    <w:rsid w:val="007C2F41"/>
    <w:rsid w:val="007C69F1"/>
    <w:rsid w:val="007C6E52"/>
    <w:rsid w:val="007C6EBB"/>
    <w:rsid w:val="007D575E"/>
    <w:rsid w:val="007E26ED"/>
    <w:rsid w:val="007E3FB1"/>
    <w:rsid w:val="007F09AA"/>
    <w:rsid w:val="007F19C7"/>
    <w:rsid w:val="007F5254"/>
    <w:rsid w:val="007F62BD"/>
    <w:rsid w:val="008012ED"/>
    <w:rsid w:val="0080157C"/>
    <w:rsid w:val="00804835"/>
    <w:rsid w:val="00805AC4"/>
    <w:rsid w:val="008071B1"/>
    <w:rsid w:val="00810CBE"/>
    <w:rsid w:val="00811D07"/>
    <w:rsid w:val="0081441B"/>
    <w:rsid w:val="00833046"/>
    <w:rsid w:val="0083729C"/>
    <w:rsid w:val="00837FF9"/>
    <w:rsid w:val="00841416"/>
    <w:rsid w:val="00841B68"/>
    <w:rsid w:val="008430A4"/>
    <w:rsid w:val="00855149"/>
    <w:rsid w:val="00862478"/>
    <w:rsid w:val="00870DD1"/>
    <w:rsid w:val="008731C1"/>
    <w:rsid w:val="008744A5"/>
    <w:rsid w:val="00877EDC"/>
    <w:rsid w:val="00882503"/>
    <w:rsid w:val="0088546B"/>
    <w:rsid w:val="00890052"/>
    <w:rsid w:val="008929AF"/>
    <w:rsid w:val="008A0C15"/>
    <w:rsid w:val="008A1DD5"/>
    <w:rsid w:val="008A22F7"/>
    <w:rsid w:val="008E36B4"/>
    <w:rsid w:val="008E7DF6"/>
    <w:rsid w:val="008F682B"/>
    <w:rsid w:val="00900379"/>
    <w:rsid w:val="00902F37"/>
    <w:rsid w:val="00904B97"/>
    <w:rsid w:val="00904F8C"/>
    <w:rsid w:val="0091227F"/>
    <w:rsid w:val="009159FF"/>
    <w:rsid w:val="00930B4D"/>
    <w:rsid w:val="00935262"/>
    <w:rsid w:val="00942582"/>
    <w:rsid w:val="0095298F"/>
    <w:rsid w:val="009567FC"/>
    <w:rsid w:val="00956819"/>
    <w:rsid w:val="00960A39"/>
    <w:rsid w:val="00965D7E"/>
    <w:rsid w:val="009672BB"/>
    <w:rsid w:val="009721DD"/>
    <w:rsid w:val="00972F86"/>
    <w:rsid w:val="00973F8B"/>
    <w:rsid w:val="00976DEB"/>
    <w:rsid w:val="009811EC"/>
    <w:rsid w:val="00985BAA"/>
    <w:rsid w:val="00987286"/>
    <w:rsid w:val="0099373B"/>
    <w:rsid w:val="00997875"/>
    <w:rsid w:val="009A19DD"/>
    <w:rsid w:val="009A1C7F"/>
    <w:rsid w:val="009B19E4"/>
    <w:rsid w:val="009B2119"/>
    <w:rsid w:val="009B3065"/>
    <w:rsid w:val="009B4BC1"/>
    <w:rsid w:val="009B4F3E"/>
    <w:rsid w:val="009C3A04"/>
    <w:rsid w:val="009C3D90"/>
    <w:rsid w:val="009C63D1"/>
    <w:rsid w:val="009C6EDD"/>
    <w:rsid w:val="009D0310"/>
    <w:rsid w:val="009D0E87"/>
    <w:rsid w:val="009D3A54"/>
    <w:rsid w:val="009D590C"/>
    <w:rsid w:val="009D73D2"/>
    <w:rsid w:val="009E4960"/>
    <w:rsid w:val="009E5DB0"/>
    <w:rsid w:val="009E69A4"/>
    <w:rsid w:val="009F12C4"/>
    <w:rsid w:val="00A06E2D"/>
    <w:rsid w:val="00A11F62"/>
    <w:rsid w:val="00A1367D"/>
    <w:rsid w:val="00A13C40"/>
    <w:rsid w:val="00A15D1C"/>
    <w:rsid w:val="00A17F3E"/>
    <w:rsid w:val="00A23A0B"/>
    <w:rsid w:val="00A304F8"/>
    <w:rsid w:val="00A307C3"/>
    <w:rsid w:val="00A31623"/>
    <w:rsid w:val="00A337E6"/>
    <w:rsid w:val="00A356A8"/>
    <w:rsid w:val="00A36166"/>
    <w:rsid w:val="00A40F0E"/>
    <w:rsid w:val="00A47C76"/>
    <w:rsid w:val="00A51137"/>
    <w:rsid w:val="00A640E5"/>
    <w:rsid w:val="00A66336"/>
    <w:rsid w:val="00A66B0C"/>
    <w:rsid w:val="00A72140"/>
    <w:rsid w:val="00A72B74"/>
    <w:rsid w:val="00A739BB"/>
    <w:rsid w:val="00A7781C"/>
    <w:rsid w:val="00A77A27"/>
    <w:rsid w:val="00A802F0"/>
    <w:rsid w:val="00A820CB"/>
    <w:rsid w:val="00A82166"/>
    <w:rsid w:val="00A837DB"/>
    <w:rsid w:val="00A9338D"/>
    <w:rsid w:val="00A950CB"/>
    <w:rsid w:val="00A9575F"/>
    <w:rsid w:val="00AA1408"/>
    <w:rsid w:val="00AA607B"/>
    <w:rsid w:val="00AC1615"/>
    <w:rsid w:val="00AC3C61"/>
    <w:rsid w:val="00AC3DE2"/>
    <w:rsid w:val="00AC5331"/>
    <w:rsid w:val="00AC6B8B"/>
    <w:rsid w:val="00AD1EAA"/>
    <w:rsid w:val="00AD53EC"/>
    <w:rsid w:val="00AE04D4"/>
    <w:rsid w:val="00AE6D42"/>
    <w:rsid w:val="00AF2F48"/>
    <w:rsid w:val="00AF4606"/>
    <w:rsid w:val="00AF46FC"/>
    <w:rsid w:val="00AF54E7"/>
    <w:rsid w:val="00AF68BA"/>
    <w:rsid w:val="00B04EAC"/>
    <w:rsid w:val="00B1472C"/>
    <w:rsid w:val="00B25A7C"/>
    <w:rsid w:val="00B26021"/>
    <w:rsid w:val="00B41E9B"/>
    <w:rsid w:val="00B43118"/>
    <w:rsid w:val="00B43135"/>
    <w:rsid w:val="00B47AAB"/>
    <w:rsid w:val="00B5107E"/>
    <w:rsid w:val="00B51C4B"/>
    <w:rsid w:val="00B55443"/>
    <w:rsid w:val="00B57B44"/>
    <w:rsid w:val="00B669A2"/>
    <w:rsid w:val="00B677FD"/>
    <w:rsid w:val="00B845CF"/>
    <w:rsid w:val="00B848F5"/>
    <w:rsid w:val="00B8688E"/>
    <w:rsid w:val="00B87D3D"/>
    <w:rsid w:val="00B92E99"/>
    <w:rsid w:val="00B955DF"/>
    <w:rsid w:val="00BA6604"/>
    <w:rsid w:val="00BA6BB3"/>
    <w:rsid w:val="00BA7C38"/>
    <w:rsid w:val="00BB281A"/>
    <w:rsid w:val="00BB2FCB"/>
    <w:rsid w:val="00BB3696"/>
    <w:rsid w:val="00BB39C1"/>
    <w:rsid w:val="00BB6092"/>
    <w:rsid w:val="00BC2A85"/>
    <w:rsid w:val="00BD3E81"/>
    <w:rsid w:val="00BD4D57"/>
    <w:rsid w:val="00BD5279"/>
    <w:rsid w:val="00BE08E8"/>
    <w:rsid w:val="00BE285B"/>
    <w:rsid w:val="00BE4F78"/>
    <w:rsid w:val="00BE4FBF"/>
    <w:rsid w:val="00BF2EC7"/>
    <w:rsid w:val="00BF4872"/>
    <w:rsid w:val="00BF6BC8"/>
    <w:rsid w:val="00BF7ED2"/>
    <w:rsid w:val="00C00D52"/>
    <w:rsid w:val="00C00EB4"/>
    <w:rsid w:val="00C02ECA"/>
    <w:rsid w:val="00C05AF2"/>
    <w:rsid w:val="00C076B7"/>
    <w:rsid w:val="00C13662"/>
    <w:rsid w:val="00C156D6"/>
    <w:rsid w:val="00C15C04"/>
    <w:rsid w:val="00C21DAE"/>
    <w:rsid w:val="00C25C75"/>
    <w:rsid w:val="00C25DD9"/>
    <w:rsid w:val="00C3173F"/>
    <w:rsid w:val="00C32938"/>
    <w:rsid w:val="00C3444C"/>
    <w:rsid w:val="00C5503F"/>
    <w:rsid w:val="00C57572"/>
    <w:rsid w:val="00C6147D"/>
    <w:rsid w:val="00C62641"/>
    <w:rsid w:val="00C62862"/>
    <w:rsid w:val="00C63CC2"/>
    <w:rsid w:val="00C704F1"/>
    <w:rsid w:val="00C76B3E"/>
    <w:rsid w:val="00C86682"/>
    <w:rsid w:val="00C92AFE"/>
    <w:rsid w:val="00C92BBA"/>
    <w:rsid w:val="00C94143"/>
    <w:rsid w:val="00C95DF6"/>
    <w:rsid w:val="00CA71F0"/>
    <w:rsid w:val="00CB1B01"/>
    <w:rsid w:val="00CB1D31"/>
    <w:rsid w:val="00CB2A4F"/>
    <w:rsid w:val="00CB2E8D"/>
    <w:rsid w:val="00CB39BC"/>
    <w:rsid w:val="00CB4432"/>
    <w:rsid w:val="00CD6266"/>
    <w:rsid w:val="00CE0857"/>
    <w:rsid w:val="00CE312A"/>
    <w:rsid w:val="00CE6082"/>
    <w:rsid w:val="00CE7A99"/>
    <w:rsid w:val="00CF623B"/>
    <w:rsid w:val="00D01276"/>
    <w:rsid w:val="00D02B32"/>
    <w:rsid w:val="00D169E0"/>
    <w:rsid w:val="00D16BD6"/>
    <w:rsid w:val="00D200D9"/>
    <w:rsid w:val="00D20EB5"/>
    <w:rsid w:val="00D21C28"/>
    <w:rsid w:val="00D2281C"/>
    <w:rsid w:val="00D23EB8"/>
    <w:rsid w:val="00D30EE1"/>
    <w:rsid w:val="00D325A5"/>
    <w:rsid w:val="00D335B1"/>
    <w:rsid w:val="00D508C7"/>
    <w:rsid w:val="00D52C91"/>
    <w:rsid w:val="00D5611A"/>
    <w:rsid w:val="00D57308"/>
    <w:rsid w:val="00D62BF7"/>
    <w:rsid w:val="00D71ACA"/>
    <w:rsid w:val="00D72101"/>
    <w:rsid w:val="00D72114"/>
    <w:rsid w:val="00D76665"/>
    <w:rsid w:val="00D866DC"/>
    <w:rsid w:val="00D86B26"/>
    <w:rsid w:val="00D87341"/>
    <w:rsid w:val="00D8735D"/>
    <w:rsid w:val="00D90619"/>
    <w:rsid w:val="00D923C1"/>
    <w:rsid w:val="00D92EBA"/>
    <w:rsid w:val="00D93542"/>
    <w:rsid w:val="00DA1E72"/>
    <w:rsid w:val="00DA2F95"/>
    <w:rsid w:val="00DA46D3"/>
    <w:rsid w:val="00DA5C87"/>
    <w:rsid w:val="00DB33F9"/>
    <w:rsid w:val="00DB6D61"/>
    <w:rsid w:val="00DB74FF"/>
    <w:rsid w:val="00DC3F31"/>
    <w:rsid w:val="00DD040E"/>
    <w:rsid w:val="00DD144D"/>
    <w:rsid w:val="00DD27ED"/>
    <w:rsid w:val="00DD58EE"/>
    <w:rsid w:val="00DD7C79"/>
    <w:rsid w:val="00DE00F5"/>
    <w:rsid w:val="00DF0192"/>
    <w:rsid w:val="00DF502C"/>
    <w:rsid w:val="00E0210B"/>
    <w:rsid w:val="00E03DEE"/>
    <w:rsid w:val="00E151C4"/>
    <w:rsid w:val="00E174F5"/>
    <w:rsid w:val="00E21996"/>
    <w:rsid w:val="00E30133"/>
    <w:rsid w:val="00E30BDF"/>
    <w:rsid w:val="00E313E4"/>
    <w:rsid w:val="00E345A9"/>
    <w:rsid w:val="00E34FAF"/>
    <w:rsid w:val="00E45D60"/>
    <w:rsid w:val="00E45D8D"/>
    <w:rsid w:val="00E478A4"/>
    <w:rsid w:val="00E546E6"/>
    <w:rsid w:val="00E5797D"/>
    <w:rsid w:val="00E63513"/>
    <w:rsid w:val="00E658CA"/>
    <w:rsid w:val="00E70629"/>
    <w:rsid w:val="00E71F73"/>
    <w:rsid w:val="00E72FB1"/>
    <w:rsid w:val="00E74FF9"/>
    <w:rsid w:val="00E77949"/>
    <w:rsid w:val="00E805A5"/>
    <w:rsid w:val="00E836F5"/>
    <w:rsid w:val="00E924AC"/>
    <w:rsid w:val="00E958BF"/>
    <w:rsid w:val="00EA5BAD"/>
    <w:rsid w:val="00EB3320"/>
    <w:rsid w:val="00EC1DA5"/>
    <w:rsid w:val="00EC2104"/>
    <w:rsid w:val="00EC4273"/>
    <w:rsid w:val="00EC5C61"/>
    <w:rsid w:val="00EC5DD9"/>
    <w:rsid w:val="00ED31DA"/>
    <w:rsid w:val="00ED3702"/>
    <w:rsid w:val="00EF16FE"/>
    <w:rsid w:val="00EF18E6"/>
    <w:rsid w:val="00EF29D2"/>
    <w:rsid w:val="00EF48FF"/>
    <w:rsid w:val="00EF5C7B"/>
    <w:rsid w:val="00F03CF8"/>
    <w:rsid w:val="00F0485D"/>
    <w:rsid w:val="00F07B80"/>
    <w:rsid w:val="00F117B4"/>
    <w:rsid w:val="00F208F4"/>
    <w:rsid w:val="00F2167F"/>
    <w:rsid w:val="00F236DC"/>
    <w:rsid w:val="00F25881"/>
    <w:rsid w:val="00F30F47"/>
    <w:rsid w:val="00F315FA"/>
    <w:rsid w:val="00F33F34"/>
    <w:rsid w:val="00F34337"/>
    <w:rsid w:val="00F408CB"/>
    <w:rsid w:val="00F423B6"/>
    <w:rsid w:val="00F50D5F"/>
    <w:rsid w:val="00F526C7"/>
    <w:rsid w:val="00F7340D"/>
    <w:rsid w:val="00F77549"/>
    <w:rsid w:val="00F77D63"/>
    <w:rsid w:val="00F77FCE"/>
    <w:rsid w:val="00F801BC"/>
    <w:rsid w:val="00F874B7"/>
    <w:rsid w:val="00F928B5"/>
    <w:rsid w:val="00FB019C"/>
    <w:rsid w:val="00FB51B7"/>
    <w:rsid w:val="00FD386F"/>
    <w:rsid w:val="00FD77B5"/>
    <w:rsid w:val="00FE0B61"/>
    <w:rsid w:val="00FE1C15"/>
    <w:rsid w:val="00FE4B5C"/>
    <w:rsid w:val="00FF02B9"/>
    <w:rsid w:val="00FF037D"/>
    <w:rsid w:val="00FF0B77"/>
    <w:rsid w:val="00FF0E2B"/>
    <w:rsid w:val="00FF2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1C"/>
    <w:pPr>
      <w:ind w:left="720"/>
      <w:contextualSpacing/>
    </w:pPr>
  </w:style>
  <w:style w:type="paragraph" w:styleId="Header">
    <w:name w:val="header"/>
    <w:basedOn w:val="Normal"/>
    <w:link w:val="HeaderChar"/>
    <w:uiPriority w:val="99"/>
    <w:unhideWhenUsed/>
    <w:rsid w:val="00F7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0D"/>
  </w:style>
  <w:style w:type="paragraph" w:styleId="Footer">
    <w:name w:val="footer"/>
    <w:basedOn w:val="Normal"/>
    <w:link w:val="FooterChar"/>
    <w:uiPriority w:val="99"/>
    <w:unhideWhenUsed/>
    <w:rsid w:val="00F7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0D"/>
  </w:style>
  <w:style w:type="paragraph" w:styleId="BalloonText">
    <w:name w:val="Balloon Text"/>
    <w:basedOn w:val="Normal"/>
    <w:link w:val="BalloonTextChar"/>
    <w:uiPriority w:val="99"/>
    <w:semiHidden/>
    <w:unhideWhenUsed/>
    <w:rsid w:val="0024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B0"/>
    <w:rPr>
      <w:rFonts w:ascii="Tahoma" w:hAnsi="Tahoma" w:cs="Tahoma"/>
      <w:sz w:val="16"/>
      <w:szCs w:val="16"/>
    </w:rPr>
  </w:style>
  <w:style w:type="table" w:styleId="TableGrid">
    <w:name w:val="Table Grid"/>
    <w:basedOn w:val="TableNormal"/>
    <w:uiPriority w:val="59"/>
    <w:rsid w:val="002D0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58E6"/>
    <w:rPr>
      <w:color w:val="0000FF" w:themeColor="hyperlink"/>
      <w:u w:val="single"/>
    </w:rPr>
  </w:style>
  <w:style w:type="character" w:styleId="CommentReference">
    <w:name w:val="annotation reference"/>
    <w:basedOn w:val="DefaultParagraphFont"/>
    <w:uiPriority w:val="99"/>
    <w:semiHidden/>
    <w:unhideWhenUsed/>
    <w:rsid w:val="004621A6"/>
    <w:rPr>
      <w:sz w:val="16"/>
      <w:szCs w:val="16"/>
    </w:rPr>
  </w:style>
  <w:style w:type="paragraph" w:styleId="CommentText">
    <w:name w:val="annotation text"/>
    <w:basedOn w:val="Normal"/>
    <w:link w:val="CommentTextChar"/>
    <w:uiPriority w:val="99"/>
    <w:semiHidden/>
    <w:unhideWhenUsed/>
    <w:rsid w:val="004621A6"/>
    <w:pPr>
      <w:spacing w:line="240" w:lineRule="auto"/>
    </w:pPr>
    <w:rPr>
      <w:sz w:val="20"/>
      <w:szCs w:val="20"/>
    </w:rPr>
  </w:style>
  <w:style w:type="character" w:customStyle="1" w:styleId="CommentTextChar">
    <w:name w:val="Comment Text Char"/>
    <w:basedOn w:val="DefaultParagraphFont"/>
    <w:link w:val="CommentText"/>
    <w:uiPriority w:val="99"/>
    <w:semiHidden/>
    <w:rsid w:val="004621A6"/>
    <w:rPr>
      <w:sz w:val="20"/>
      <w:szCs w:val="20"/>
    </w:rPr>
  </w:style>
  <w:style w:type="paragraph" w:styleId="CommentSubject">
    <w:name w:val="annotation subject"/>
    <w:basedOn w:val="CommentText"/>
    <w:next w:val="CommentText"/>
    <w:link w:val="CommentSubjectChar"/>
    <w:uiPriority w:val="99"/>
    <w:semiHidden/>
    <w:unhideWhenUsed/>
    <w:rsid w:val="004621A6"/>
    <w:rPr>
      <w:b/>
      <w:bCs/>
    </w:rPr>
  </w:style>
  <w:style w:type="character" w:customStyle="1" w:styleId="CommentSubjectChar">
    <w:name w:val="Comment Subject Char"/>
    <w:basedOn w:val="CommentTextChar"/>
    <w:link w:val="CommentSubject"/>
    <w:uiPriority w:val="99"/>
    <w:semiHidden/>
    <w:rsid w:val="004621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1C"/>
    <w:pPr>
      <w:ind w:left="720"/>
      <w:contextualSpacing/>
    </w:pPr>
  </w:style>
  <w:style w:type="paragraph" w:styleId="Header">
    <w:name w:val="header"/>
    <w:basedOn w:val="Normal"/>
    <w:link w:val="HeaderChar"/>
    <w:uiPriority w:val="99"/>
    <w:unhideWhenUsed/>
    <w:rsid w:val="00F7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0D"/>
  </w:style>
  <w:style w:type="paragraph" w:styleId="Footer">
    <w:name w:val="footer"/>
    <w:basedOn w:val="Normal"/>
    <w:link w:val="FooterChar"/>
    <w:uiPriority w:val="99"/>
    <w:unhideWhenUsed/>
    <w:rsid w:val="00F7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0D"/>
  </w:style>
  <w:style w:type="paragraph" w:styleId="BalloonText">
    <w:name w:val="Balloon Text"/>
    <w:basedOn w:val="Normal"/>
    <w:link w:val="BalloonTextChar"/>
    <w:uiPriority w:val="99"/>
    <w:semiHidden/>
    <w:unhideWhenUsed/>
    <w:rsid w:val="0024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B0"/>
    <w:rPr>
      <w:rFonts w:ascii="Tahoma" w:hAnsi="Tahoma" w:cs="Tahoma"/>
      <w:sz w:val="16"/>
      <w:szCs w:val="16"/>
    </w:rPr>
  </w:style>
  <w:style w:type="table" w:styleId="TableGrid">
    <w:name w:val="Table Grid"/>
    <w:basedOn w:val="TableNormal"/>
    <w:uiPriority w:val="59"/>
    <w:rsid w:val="002D0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58E6"/>
    <w:rPr>
      <w:color w:val="0000FF" w:themeColor="hyperlink"/>
      <w:u w:val="single"/>
    </w:rPr>
  </w:style>
  <w:style w:type="character" w:styleId="CommentReference">
    <w:name w:val="annotation reference"/>
    <w:basedOn w:val="DefaultParagraphFont"/>
    <w:uiPriority w:val="99"/>
    <w:semiHidden/>
    <w:unhideWhenUsed/>
    <w:rsid w:val="004621A6"/>
    <w:rPr>
      <w:sz w:val="16"/>
      <w:szCs w:val="16"/>
    </w:rPr>
  </w:style>
  <w:style w:type="paragraph" w:styleId="CommentText">
    <w:name w:val="annotation text"/>
    <w:basedOn w:val="Normal"/>
    <w:link w:val="CommentTextChar"/>
    <w:uiPriority w:val="99"/>
    <w:semiHidden/>
    <w:unhideWhenUsed/>
    <w:rsid w:val="004621A6"/>
    <w:pPr>
      <w:spacing w:line="240" w:lineRule="auto"/>
    </w:pPr>
    <w:rPr>
      <w:sz w:val="20"/>
      <w:szCs w:val="20"/>
    </w:rPr>
  </w:style>
  <w:style w:type="character" w:customStyle="1" w:styleId="CommentTextChar">
    <w:name w:val="Comment Text Char"/>
    <w:basedOn w:val="DefaultParagraphFont"/>
    <w:link w:val="CommentText"/>
    <w:uiPriority w:val="99"/>
    <w:semiHidden/>
    <w:rsid w:val="004621A6"/>
    <w:rPr>
      <w:sz w:val="20"/>
      <w:szCs w:val="20"/>
    </w:rPr>
  </w:style>
  <w:style w:type="paragraph" w:styleId="CommentSubject">
    <w:name w:val="annotation subject"/>
    <w:basedOn w:val="CommentText"/>
    <w:next w:val="CommentText"/>
    <w:link w:val="CommentSubjectChar"/>
    <w:uiPriority w:val="99"/>
    <w:semiHidden/>
    <w:unhideWhenUsed/>
    <w:rsid w:val="004621A6"/>
    <w:rPr>
      <w:b/>
      <w:bCs/>
    </w:rPr>
  </w:style>
  <w:style w:type="character" w:customStyle="1" w:styleId="CommentSubjectChar">
    <w:name w:val="Comment Subject Char"/>
    <w:basedOn w:val="CommentTextChar"/>
    <w:link w:val="CommentSubject"/>
    <w:uiPriority w:val="99"/>
    <w:semiHidden/>
    <w:rsid w:val="00462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1619">
      <w:bodyDiv w:val="1"/>
      <w:marLeft w:val="0"/>
      <w:marRight w:val="0"/>
      <w:marTop w:val="0"/>
      <w:marBottom w:val="0"/>
      <w:divBdr>
        <w:top w:val="none" w:sz="0" w:space="0" w:color="auto"/>
        <w:left w:val="none" w:sz="0" w:space="0" w:color="auto"/>
        <w:bottom w:val="none" w:sz="0" w:space="0" w:color="auto"/>
        <w:right w:val="none" w:sz="0" w:space="0" w:color="auto"/>
      </w:divBdr>
    </w:div>
    <w:div w:id="364911588">
      <w:bodyDiv w:val="1"/>
      <w:marLeft w:val="0"/>
      <w:marRight w:val="0"/>
      <w:marTop w:val="0"/>
      <w:marBottom w:val="0"/>
      <w:divBdr>
        <w:top w:val="none" w:sz="0" w:space="0" w:color="auto"/>
        <w:left w:val="none" w:sz="0" w:space="0" w:color="auto"/>
        <w:bottom w:val="none" w:sz="0" w:space="0" w:color="auto"/>
        <w:right w:val="none" w:sz="0" w:space="0" w:color="auto"/>
      </w:divBdr>
    </w:div>
    <w:div w:id="425080098">
      <w:bodyDiv w:val="1"/>
      <w:marLeft w:val="0"/>
      <w:marRight w:val="0"/>
      <w:marTop w:val="0"/>
      <w:marBottom w:val="0"/>
      <w:divBdr>
        <w:top w:val="none" w:sz="0" w:space="0" w:color="auto"/>
        <w:left w:val="none" w:sz="0" w:space="0" w:color="auto"/>
        <w:bottom w:val="none" w:sz="0" w:space="0" w:color="auto"/>
        <w:right w:val="none" w:sz="0" w:space="0" w:color="auto"/>
      </w:divBdr>
    </w:div>
    <w:div w:id="640621151">
      <w:bodyDiv w:val="1"/>
      <w:marLeft w:val="0"/>
      <w:marRight w:val="0"/>
      <w:marTop w:val="0"/>
      <w:marBottom w:val="0"/>
      <w:divBdr>
        <w:top w:val="none" w:sz="0" w:space="0" w:color="auto"/>
        <w:left w:val="none" w:sz="0" w:space="0" w:color="auto"/>
        <w:bottom w:val="none" w:sz="0" w:space="0" w:color="auto"/>
        <w:right w:val="none" w:sz="0" w:space="0" w:color="auto"/>
      </w:divBdr>
    </w:div>
    <w:div w:id="749349513">
      <w:bodyDiv w:val="1"/>
      <w:marLeft w:val="0"/>
      <w:marRight w:val="0"/>
      <w:marTop w:val="0"/>
      <w:marBottom w:val="0"/>
      <w:divBdr>
        <w:top w:val="none" w:sz="0" w:space="0" w:color="auto"/>
        <w:left w:val="none" w:sz="0" w:space="0" w:color="auto"/>
        <w:bottom w:val="none" w:sz="0" w:space="0" w:color="auto"/>
        <w:right w:val="none" w:sz="0" w:space="0" w:color="auto"/>
      </w:divBdr>
    </w:div>
    <w:div w:id="1480533486">
      <w:bodyDiv w:val="1"/>
      <w:marLeft w:val="0"/>
      <w:marRight w:val="0"/>
      <w:marTop w:val="0"/>
      <w:marBottom w:val="0"/>
      <w:divBdr>
        <w:top w:val="none" w:sz="0" w:space="0" w:color="auto"/>
        <w:left w:val="none" w:sz="0" w:space="0" w:color="auto"/>
        <w:bottom w:val="none" w:sz="0" w:space="0" w:color="auto"/>
        <w:right w:val="none" w:sz="0" w:space="0" w:color="auto"/>
      </w:divBdr>
    </w:div>
    <w:div w:id="2023624716">
      <w:bodyDiv w:val="1"/>
      <w:marLeft w:val="0"/>
      <w:marRight w:val="0"/>
      <w:marTop w:val="0"/>
      <w:marBottom w:val="0"/>
      <w:divBdr>
        <w:top w:val="none" w:sz="0" w:space="0" w:color="auto"/>
        <w:left w:val="none" w:sz="0" w:space="0" w:color="auto"/>
        <w:bottom w:val="none" w:sz="0" w:space="0" w:color="auto"/>
        <w:right w:val="none" w:sz="0" w:space="0" w:color="auto"/>
      </w:divBdr>
    </w:div>
    <w:div w:id="20934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hani@uum.edu.my" TargetMode="External"/><Relationship Id="rId5" Type="http://schemas.openxmlformats.org/officeDocument/2006/relationships/settings" Target="settings.xml"/><Relationship Id="rId10" Type="http://schemas.openxmlformats.org/officeDocument/2006/relationships/hyperlink" Target="mailto:asish_saha@hotmail.com" TargetMode="External"/><Relationship Id="rId4" Type="http://schemas.microsoft.com/office/2007/relationships/stylesWithEffects" Target="stylesWithEffects.xml"/><Relationship Id="rId9" Type="http://schemas.openxmlformats.org/officeDocument/2006/relationships/hyperlink" Target="mailto:azizalyousfi@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6904-AB36-47DA-9CEB-319A1FA3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10560</Words>
  <Characters>60192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2017-02-15T14:45:00Z</dcterms:created>
  <dcterms:modified xsi:type="dcterms:W3CDTF">2017-02-18T01:52:00Z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azizalyousfi@yahoo.com@www.mendeley.com</vt:lpwstr>
  </property>
  <property fmtid="{D5CDD505-2E9C-101B-9397-08002B2CF9AE}" pid="4" name="Mendeley Citation Style_1">
    <vt:lpwstr>http://csl.mendeley.com/styles/239254271/apa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http://csl.mendeley.com/styles/239254271/apa</vt:lpwstr>
  </property>
  <property fmtid="{D5CDD505-2E9C-101B-9397-08002B2CF9AE}" pid="10" name="Mendeley Recent Style Name 2_1">
    <vt:lpwstr>American Psychological Association 6th edition - Abdulazeez Yousef</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